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C64" w:rsidRDefault="00790C64" w:rsidP="00EA331E">
      <w:pPr>
        <w:rPr>
          <w:rFonts w:ascii="Myriad Pro" w:hAnsi="Myriad Pro" w:cs="Arial"/>
          <w:b/>
          <w:sz w:val="22"/>
          <w:szCs w:val="22"/>
        </w:rPr>
      </w:pPr>
    </w:p>
    <w:p w:rsidR="00032829" w:rsidRDefault="00032829" w:rsidP="00EA331E">
      <w:pPr>
        <w:rPr>
          <w:rFonts w:ascii="Myriad Pro" w:hAnsi="Myriad Pro" w:cs="Arial"/>
          <w:b/>
          <w:sz w:val="22"/>
          <w:szCs w:val="22"/>
        </w:rPr>
      </w:pPr>
    </w:p>
    <w:p w:rsidR="00032829" w:rsidRDefault="00032829" w:rsidP="00032829">
      <w:pPr>
        <w:jc w:val="center"/>
        <w:rPr>
          <w:rFonts w:cs="Arial"/>
          <w:b/>
          <w:szCs w:val="18"/>
        </w:rPr>
      </w:pPr>
      <w:r w:rsidRPr="00CD6DB9">
        <w:rPr>
          <w:rFonts w:cs="Arial"/>
          <w:b/>
          <w:szCs w:val="18"/>
        </w:rPr>
        <w:t xml:space="preserve">NATURE DU MARCHE : </w:t>
      </w:r>
    </w:p>
    <w:p w:rsidR="00032829" w:rsidRPr="00FA4C99" w:rsidRDefault="00032829" w:rsidP="00032829">
      <w:pPr>
        <w:spacing w:after="160" w:line="259" w:lineRule="auto"/>
        <w:jc w:val="center"/>
        <w:rPr>
          <w:rFonts w:eastAsia="Calibri" w:cs="Arial"/>
          <w:b/>
          <w:bCs/>
          <w:szCs w:val="18"/>
          <w:lang w:eastAsia="en-US"/>
        </w:rPr>
      </w:pPr>
      <w:r w:rsidRPr="00FA4C99">
        <w:rPr>
          <w:rFonts w:eastAsia="Calibri" w:cs="Arial"/>
          <w:b/>
          <w:szCs w:val="18"/>
          <w:lang w:eastAsia="en-US"/>
        </w:rPr>
        <w:t xml:space="preserve">ACCORD-CADRE A </w:t>
      </w:r>
      <w:r>
        <w:rPr>
          <w:rFonts w:eastAsia="Calibri" w:cs="Arial"/>
          <w:b/>
          <w:szCs w:val="18"/>
          <w:lang w:eastAsia="en-US"/>
        </w:rPr>
        <w:t>MARCHES SUBSEQUENTS</w:t>
      </w:r>
      <w:r w:rsidRPr="00FA4C99">
        <w:rPr>
          <w:rFonts w:eastAsia="Calibri" w:cs="Arial"/>
          <w:b/>
          <w:szCs w:val="18"/>
          <w:lang w:eastAsia="en-US"/>
        </w:rPr>
        <w:t xml:space="preserve"> DE SERVICES </w:t>
      </w:r>
    </w:p>
    <w:p w:rsidR="00032829" w:rsidRDefault="00032829" w:rsidP="00032829">
      <w:pPr>
        <w:jc w:val="center"/>
        <w:rPr>
          <w:rFonts w:ascii="Myriad Pro" w:hAnsi="Myriad Pro" w:cs="Arial"/>
          <w:b/>
          <w:sz w:val="22"/>
          <w:szCs w:val="22"/>
        </w:rPr>
      </w:pPr>
    </w:p>
    <w:p w:rsidR="00EA331E" w:rsidRPr="0085698F" w:rsidRDefault="00EA331E" w:rsidP="00032829">
      <w:pPr>
        <w:jc w:val="center"/>
        <w:rPr>
          <w:rFonts w:ascii="Myriad Pro" w:hAnsi="Myriad Pro" w:cs="Arial"/>
          <w:b/>
          <w:sz w:val="22"/>
          <w:szCs w:val="22"/>
        </w:rPr>
      </w:pPr>
    </w:p>
    <w:p w:rsidR="00EA417D" w:rsidRDefault="00032829" w:rsidP="00032829">
      <w:pPr>
        <w:jc w:val="center"/>
        <w:rPr>
          <w:rFonts w:eastAsia="Calibri"/>
          <w:b/>
          <w:bCs/>
          <w:szCs w:val="18"/>
        </w:rPr>
      </w:pPr>
      <w:r>
        <w:rPr>
          <w:rFonts w:eastAsia="Calibri"/>
          <w:b/>
          <w:bCs/>
          <w:szCs w:val="18"/>
        </w:rPr>
        <w:t xml:space="preserve">Procédure : </w:t>
      </w:r>
      <w:r w:rsidR="00EA417D">
        <w:rPr>
          <w:rFonts w:eastAsia="Calibri"/>
          <w:b/>
          <w:bCs/>
          <w:szCs w:val="18"/>
        </w:rPr>
        <w:t>Concours restreint de maîtrise d’œuvre</w:t>
      </w:r>
    </w:p>
    <w:p w:rsidR="00032829" w:rsidRDefault="00032829" w:rsidP="00032829">
      <w:pPr>
        <w:jc w:val="center"/>
        <w:rPr>
          <w:rFonts w:eastAsia="Calibri"/>
          <w:b/>
          <w:bCs/>
          <w:szCs w:val="18"/>
        </w:rPr>
      </w:pPr>
    </w:p>
    <w:p w:rsidR="00032829" w:rsidRDefault="00032829" w:rsidP="00032829">
      <w:pPr>
        <w:jc w:val="center"/>
        <w:rPr>
          <w:rFonts w:eastAsia="Calibri"/>
          <w:b/>
          <w:bCs/>
          <w:szCs w:val="18"/>
        </w:rPr>
      </w:pPr>
    </w:p>
    <w:p w:rsidR="00032829" w:rsidRPr="00CA5B3E" w:rsidRDefault="00032829" w:rsidP="00032829">
      <w:pPr>
        <w:jc w:val="center"/>
        <w:rPr>
          <w:rFonts w:eastAsia="Calibri"/>
          <w:b/>
          <w:bCs/>
          <w:szCs w:val="18"/>
        </w:rPr>
      </w:pPr>
    </w:p>
    <w:p w:rsidR="00EA331E" w:rsidRPr="002F39D4" w:rsidRDefault="00EA331E" w:rsidP="00032829">
      <w:pPr>
        <w:tabs>
          <w:tab w:val="left" w:pos="639"/>
          <w:tab w:val="center" w:pos="4300"/>
        </w:tabs>
        <w:jc w:val="center"/>
        <w:rPr>
          <w:rFonts w:cs="Arial"/>
          <w:b/>
          <w:sz w:val="16"/>
          <w:szCs w:val="16"/>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EA331E" w:rsidRPr="00FF30D7" w:rsidTr="006451BD">
        <w:trPr>
          <w:cantSplit/>
          <w:trHeight w:val="956"/>
        </w:trPr>
        <w:tc>
          <w:tcPr>
            <w:tcW w:w="9356" w:type="dxa"/>
            <w:shd w:val="clear" w:color="auto" w:fill="DDDDDD"/>
            <w:vAlign w:val="center"/>
          </w:tcPr>
          <w:p w:rsidR="00EA417D" w:rsidRPr="00CC1886" w:rsidRDefault="00EA417D" w:rsidP="00032829">
            <w:pPr>
              <w:jc w:val="center"/>
              <w:rPr>
                <w:rFonts w:eastAsia="Calibri"/>
                <w:b/>
                <w:bCs/>
                <w:u w:val="single"/>
              </w:rPr>
            </w:pPr>
            <w:r w:rsidRPr="00CC1886">
              <w:rPr>
                <w:rFonts w:eastAsia="Calibri"/>
                <w:b/>
                <w:bCs/>
                <w:u w:val="single"/>
              </w:rPr>
              <w:t>Objet</w:t>
            </w:r>
            <w:r>
              <w:rPr>
                <w:rFonts w:eastAsia="Calibri"/>
                <w:b/>
                <w:bCs/>
                <w:u w:val="single"/>
              </w:rPr>
              <w:t xml:space="preserve"> </w:t>
            </w:r>
            <w:r w:rsidRPr="00CC1886">
              <w:rPr>
                <w:rFonts w:eastAsia="Calibri"/>
                <w:b/>
                <w:bCs/>
                <w:u w:val="single"/>
              </w:rPr>
              <w:t>:</w:t>
            </w:r>
          </w:p>
          <w:p w:rsidR="00EA417D" w:rsidRDefault="00EA417D" w:rsidP="00032829">
            <w:pPr>
              <w:jc w:val="center"/>
              <w:rPr>
                <w:rFonts w:eastAsia="Calibri"/>
                <w:b/>
                <w:bCs/>
              </w:rPr>
            </w:pPr>
          </w:p>
          <w:p w:rsidR="00EA417D" w:rsidRDefault="00EA417D" w:rsidP="00032829">
            <w:pPr>
              <w:jc w:val="center"/>
              <w:rPr>
                <w:rFonts w:eastAsia="Calibri"/>
                <w:b/>
                <w:bCs/>
              </w:rPr>
            </w:pPr>
            <w:r>
              <w:rPr>
                <w:rFonts w:eastAsia="Calibri"/>
                <w:b/>
                <w:bCs/>
              </w:rPr>
              <w:t>Concours de Maîtrise d’Œuvre</w:t>
            </w:r>
          </w:p>
          <w:p w:rsidR="00EA417D" w:rsidRDefault="00EA417D" w:rsidP="00032829">
            <w:pPr>
              <w:jc w:val="center"/>
              <w:rPr>
                <w:rFonts w:eastAsia="Calibri"/>
                <w:b/>
                <w:bCs/>
              </w:rPr>
            </w:pPr>
            <w:r>
              <w:rPr>
                <w:rFonts w:eastAsia="Calibri"/>
                <w:b/>
                <w:bCs/>
              </w:rPr>
              <w:t xml:space="preserve">Portant sur les phases 1, 2 et 2bis de l’Opération PARAMED </w:t>
            </w:r>
            <w:r w:rsidRPr="00CC1886">
              <w:rPr>
                <w:rFonts w:eastAsia="Calibri"/>
                <w:b/>
                <w:bCs/>
              </w:rPr>
              <w:t>sur le campus Nord de la faculté des sciences médicales et paramédicales (FSMPM)</w:t>
            </w:r>
            <w:r>
              <w:rPr>
                <w:rFonts w:eastAsia="Calibri"/>
                <w:b/>
                <w:bCs/>
              </w:rPr>
              <w:t xml:space="preserve"> de Marseille</w:t>
            </w:r>
          </w:p>
          <w:p w:rsidR="00EA417D" w:rsidRDefault="00EA417D" w:rsidP="00032829">
            <w:pPr>
              <w:jc w:val="center"/>
              <w:rPr>
                <w:rFonts w:eastAsia="Calibri"/>
                <w:b/>
                <w:bCs/>
              </w:rPr>
            </w:pPr>
          </w:p>
          <w:p w:rsidR="00EA417D" w:rsidRDefault="00EA417D" w:rsidP="00032829">
            <w:pPr>
              <w:jc w:val="center"/>
              <w:rPr>
                <w:rFonts w:eastAsia="Calibri"/>
                <w:b/>
                <w:bCs/>
              </w:rPr>
            </w:pPr>
            <w:r>
              <w:rPr>
                <w:rFonts w:eastAsia="Calibri"/>
                <w:b/>
                <w:bCs/>
              </w:rPr>
              <w:t>Concours niveau APS</w:t>
            </w:r>
          </w:p>
          <w:p w:rsidR="00EA417D" w:rsidRDefault="00EA417D" w:rsidP="00032829">
            <w:pPr>
              <w:jc w:val="center"/>
              <w:rPr>
                <w:rFonts w:eastAsia="Calibri"/>
                <w:b/>
                <w:bCs/>
              </w:rPr>
            </w:pPr>
          </w:p>
          <w:p w:rsidR="00EA417D" w:rsidRDefault="00EA417D" w:rsidP="00032829">
            <w:pPr>
              <w:jc w:val="center"/>
              <w:rPr>
                <w:rFonts w:eastAsia="Calibri"/>
                <w:b/>
                <w:bCs/>
              </w:rPr>
            </w:pPr>
            <w:r>
              <w:rPr>
                <w:rFonts w:eastAsia="Calibri"/>
                <w:b/>
                <w:bCs/>
              </w:rPr>
              <w:t>Contrats négociés à l’issue du concours avec le ou les lauréat(s) :</w:t>
            </w:r>
          </w:p>
          <w:p w:rsidR="00EA417D" w:rsidRDefault="00EA417D" w:rsidP="008F2B6A">
            <w:pPr>
              <w:pStyle w:val="Paragraphedeliste"/>
              <w:numPr>
                <w:ilvl w:val="0"/>
                <w:numId w:val="17"/>
              </w:numPr>
              <w:contextualSpacing/>
              <w:jc w:val="center"/>
              <w:rPr>
                <w:rFonts w:eastAsia="Calibri"/>
                <w:b/>
                <w:bCs/>
              </w:rPr>
            </w:pPr>
            <w:r>
              <w:rPr>
                <w:rFonts w:eastAsia="Calibri"/>
                <w:b/>
                <w:bCs/>
              </w:rPr>
              <w:t>Accord-cadre de maîtrise d’œuvre sur l’ensemble des phases de l’opération PARAMED</w:t>
            </w:r>
          </w:p>
          <w:p w:rsidR="00EA331E" w:rsidRPr="00EA417D" w:rsidRDefault="00EA417D" w:rsidP="008F2B6A">
            <w:pPr>
              <w:pStyle w:val="Paragraphedeliste"/>
              <w:numPr>
                <w:ilvl w:val="0"/>
                <w:numId w:val="17"/>
              </w:numPr>
              <w:contextualSpacing/>
              <w:jc w:val="center"/>
              <w:rPr>
                <w:rFonts w:cs="Arial"/>
                <w:b/>
                <w:sz w:val="20"/>
                <w:szCs w:val="20"/>
              </w:rPr>
            </w:pPr>
            <w:r>
              <w:rPr>
                <w:rFonts w:eastAsia="Calibri"/>
                <w:b/>
                <w:bCs/>
              </w:rPr>
              <w:t>Marché subséquent n°1 correspondant à la phase 1 PARAMED 1</w:t>
            </w:r>
          </w:p>
          <w:p w:rsidR="00EA417D" w:rsidRPr="002F39D4" w:rsidRDefault="00EA417D" w:rsidP="00032829">
            <w:pPr>
              <w:pStyle w:val="Paragraphedeliste"/>
              <w:ind w:left="720"/>
              <w:contextualSpacing/>
              <w:jc w:val="center"/>
              <w:rPr>
                <w:rFonts w:cs="Arial"/>
                <w:b/>
                <w:sz w:val="20"/>
                <w:szCs w:val="20"/>
              </w:rPr>
            </w:pPr>
          </w:p>
        </w:tc>
      </w:tr>
    </w:tbl>
    <w:p w:rsidR="00EA331E" w:rsidRDefault="00EA331E" w:rsidP="00032829">
      <w:pPr>
        <w:jc w:val="center"/>
        <w:rPr>
          <w:rFonts w:cs="Arial"/>
          <w:b/>
          <w:sz w:val="8"/>
          <w:szCs w:val="8"/>
        </w:rPr>
      </w:pPr>
    </w:p>
    <w:p w:rsidR="00032829" w:rsidRDefault="00032829" w:rsidP="00032829">
      <w:pPr>
        <w:jc w:val="center"/>
        <w:rPr>
          <w:rFonts w:cs="Arial"/>
          <w:b/>
          <w:sz w:val="8"/>
          <w:szCs w:val="8"/>
        </w:rPr>
      </w:pPr>
    </w:p>
    <w:p w:rsidR="00032829" w:rsidRPr="002F39D4" w:rsidRDefault="00032829" w:rsidP="00032829">
      <w:pPr>
        <w:jc w:val="center"/>
        <w:rPr>
          <w:rFonts w:cs="Arial"/>
          <w:b/>
          <w:sz w:val="8"/>
          <w:szCs w:val="8"/>
        </w:rPr>
      </w:pPr>
    </w:p>
    <w:p w:rsidR="00C623C7" w:rsidRPr="00CA5B3E" w:rsidRDefault="00EA417D" w:rsidP="00032829">
      <w:pPr>
        <w:jc w:val="center"/>
        <w:rPr>
          <w:rFonts w:eastAsia="Calibri"/>
          <w:szCs w:val="18"/>
          <w:u w:val="single"/>
        </w:rPr>
      </w:pPr>
      <w:bookmarkStart w:id="0" w:name="_Hlk134190881"/>
      <w:r>
        <w:rPr>
          <w:rFonts w:eastAsia="Calibri"/>
          <w:szCs w:val="18"/>
          <w:u w:val="single"/>
        </w:rPr>
        <w:t>Acheteur</w:t>
      </w:r>
      <w:r w:rsidR="00C623C7" w:rsidRPr="00CA5B3E">
        <w:rPr>
          <w:rFonts w:eastAsia="Calibri"/>
          <w:szCs w:val="18"/>
          <w:u w:val="single"/>
        </w:rPr>
        <w:t> :</w:t>
      </w:r>
    </w:p>
    <w:p w:rsidR="00C623C7" w:rsidRPr="00CA5B3E" w:rsidRDefault="00C623C7" w:rsidP="00032829">
      <w:pPr>
        <w:jc w:val="center"/>
        <w:rPr>
          <w:rFonts w:eastAsia="Calibri"/>
          <w:szCs w:val="18"/>
        </w:rPr>
      </w:pPr>
      <w:r w:rsidRPr="00CA5B3E">
        <w:rPr>
          <w:rFonts w:eastAsia="Calibri"/>
          <w:szCs w:val="18"/>
        </w:rPr>
        <w:t>Aix-Marseille Université (AMU)</w:t>
      </w:r>
    </w:p>
    <w:p w:rsidR="00C623C7" w:rsidRPr="00CA5B3E" w:rsidRDefault="00C623C7" w:rsidP="00032829">
      <w:pPr>
        <w:jc w:val="center"/>
        <w:rPr>
          <w:rFonts w:eastAsia="Calibri"/>
          <w:szCs w:val="18"/>
        </w:rPr>
      </w:pPr>
      <w:r w:rsidRPr="00CA5B3E">
        <w:rPr>
          <w:rFonts w:eastAsia="Calibri"/>
          <w:szCs w:val="18"/>
        </w:rPr>
        <w:t>58, boulevard Charles Livon, 13284 MARSEILLE CEDEX 07</w:t>
      </w:r>
    </w:p>
    <w:p w:rsidR="00C623C7" w:rsidRPr="00CA5B3E" w:rsidRDefault="00C623C7" w:rsidP="00032829">
      <w:pPr>
        <w:jc w:val="center"/>
        <w:rPr>
          <w:rFonts w:eastAsia="Calibri"/>
          <w:szCs w:val="18"/>
        </w:rPr>
      </w:pPr>
    </w:p>
    <w:p w:rsidR="00C623C7" w:rsidRPr="00CA5B3E" w:rsidRDefault="00C623C7" w:rsidP="00032829">
      <w:pPr>
        <w:jc w:val="center"/>
        <w:rPr>
          <w:rFonts w:eastAsia="Calibri"/>
          <w:szCs w:val="18"/>
          <w:u w:val="single"/>
        </w:rPr>
      </w:pPr>
      <w:r w:rsidRPr="00CA5B3E">
        <w:rPr>
          <w:rFonts w:eastAsia="Calibri"/>
          <w:szCs w:val="18"/>
          <w:u w:val="single"/>
        </w:rPr>
        <w:t xml:space="preserve">Représentant Légal </w:t>
      </w:r>
      <w:r w:rsidR="00EA417D">
        <w:rPr>
          <w:rFonts w:eastAsia="Calibri"/>
          <w:szCs w:val="18"/>
          <w:u w:val="single"/>
        </w:rPr>
        <w:t>de l’acheteur</w:t>
      </w:r>
      <w:r w:rsidRPr="00CA5B3E">
        <w:rPr>
          <w:rFonts w:eastAsia="Calibri"/>
          <w:szCs w:val="18"/>
          <w:u w:val="single"/>
        </w:rPr>
        <w:t> :</w:t>
      </w:r>
    </w:p>
    <w:p w:rsidR="00C623C7" w:rsidRPr="00CA5B3E" w:rsidRDefault="00C623C7" w:rsidP="00032829">
      <w:pPr>
        <w:jc w:val="center"/>
        <w:rPr>
          <w:rFonts w:eastAsia="Calibri"/>
          <w:szCs w:val="18"/>
        </w:rPr>
      </w:pPr>
      <w:r w:rsidRPr="00CA5B3E">
        <w:rPr>
          <w:rFonts w:eastAsia="Calibri"/>
          <w:szCs w:val="18"/>
        </w:rPr>
        <w:t>Le Président d’Aix-Marseille Université</w:t>
      </w:r>
    </w:p>
    <w:p w:rsidR="00C623C7" w:rsidRPr="00CA5B3E" w:rsidRDefault="00C623C7" w:rsidP="00032829">
      <w:pPr>
        <w:jc w:val="center"/>
        <w:rPr>
          <w:rFonts w:eastAsia="Calibri"/>
          <w:szCs w:val="18"/>
        </w:rPr>
      </w:pPr>
    </w:p>
    <w:p w:rsidR="00C623C7" w:rsidRPr="00CA5B3E" w:rsidRDefault="00C623C7" w:rsidP="00032829">
      <w:pPr>
        <w:jc w:val="center"/>
        <w:rPr>
          <w:rFonts w:eastAsia="Calibri"/>
          <w:szCs w:val="18"/>
          <w:u w:val="single"/>
        </w:rPr>
      </w:pPr>
      <w:r w:rsidRPr="00CA5B3E">
        <w:rPr>
          <w:rFonts w:eastAsia="Calibri"/>
          <w:szCs w:val="18"/>
          <w:u w:val="single"/>
        </w:rPr>
        <w:t>Comptable assignataire des paiements :</w:t>
      </w:r>
    </w:p>
    <w:p w:rsidR="00C623C7" w:rsidRPr="00CA5B3E" w:rsidRDefault="00C623C7" w:rsidP="00032829">
      <w:pPr>
        <w:jc w:val="center"/>
        <w:rPr>
          <w:rFonts w:eastAsia="Calibri"/>
          <w:szCs w:val="18"/>
        </w:rPr>
      </w:pPr>
      <w:r w:rsidRPr="00CA5B3E">
        <w:rPr>
          <w:rFonts w:eastAsia="Calibri"/>
          <w:szCs w:val="18"/>
        </w:rPr>
        <w:t>Monsieur l’agent comptable d’Aix-Marseille Université</w:t>
      </w:r>
    </w:p>
    <w:bookmarkEnd w:id="0"/>
    <w:p w:rsidR="00EA331E" w:rsidRDefault="00EA331E" w:rsidP="00032829">
      <w:pPr>
        <w:spacing w:line="120" w:lineRule="atLeast"/>
        <w:jc w:val="center"/>
        <w:rPr>
          <w:sz w:val="20"/>
          <w:szCs w:val="20"/>
        </w:rPr>
      </w:pPr>
    </w:p>
    <w:p w:rsidR="00032829" w:rsidRPr="002F39D4" w:rsidRDefault="00032829" w:rsidP="00032829">
      <w:pPr>
        <w:spacing w:line="120" w:lineRule="atLeast"/>
        <w:jc w:val="center"/>
        <w:rPr>
          <w:sz w:val="20"/>
          <w:szCs w:val="20"/>
        </w:rPr>
      </w:pPr>
    </w:p>
    <w:p w:rsidR="00EA331E" w:rsidRPr="002F39D4" w:rsidRDefault="00DA780F" w:rsidP="00032829">
      <w:pPr>
        <w:jc w:val="center"/>
        <w:rPr>
          <w:rFonts w:cs="Arial"/>
          <w:b/>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99695</wp:posOffset>
                </wp:positionV>
                <wp:extent cx="5943600" cy="455930"/>
                <wp:effectExtent l="0" t="0" r="0" b="127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5930"/>
                        </a:xfrm>
                        <a:prstGeom prst="rect">
                          <a:avLst/>
                        </a:prstGeom>
                        <a:solidFill>
                          <a:srgbClr val="DDDDDD"/>
                        </a:solidFill>
                        <a:ln w="9525">
                          <a:solidFill>
                            <a:srgbClr val="000000"/>
                          </a:solidFill>
                          <a:miter lim="800000"/>
                          <a:headEnd/>
                          <a:tailEnd/>
                        </a:ln>
                      </wps:spPr>
                      <wps:txbx>
                        <w:txbxContent>
                          <w:p w:rsidR="00DD1C9C" w:rsidRPr="00116915" w:rsidRDefault="00DD1C9C" w:rsidP="00EA331E">
                            <w:pPr>
                              <w:jc w:val="center"/>
                              <w:rPr>
                                <w:rFonts w:cs="Arial"/>
                                <w:b/>
                              </w:rPr>
                            </w:pPr>
                            <w:r w:rsidRPr="00C623C7">
                              <w:rPr>
                                <w:rFonts w:cs="Arial"/>
                                <w:b/>
                                <w:sz w:val="24"/>
                              </w:rPr>
                              <w:t>CAHIER DES C</w:t>
                            </w:r>
                            <w:r w:rsidRPr="0026092B">
                              <w:rPr>
                                <w:rFonts w:cs="Arial"/>
                                <w:b/>
                                <w:sz w:val="24"/>
                              </w:rPr>
                              <w:t>LAUSES ADMINISTRATIVES PARTICULIERES (CCAP)</w:t>
                            </w:r>
                            <w:r w:rsidRPr="0026092B">
                              <w:rPr>
                                <w:rFonts w:cs="Arial"/>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9pt;margin-top:7.85pt;width:468pt;height:3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" fillcolor="#ddd">
                <v:textbox>
                  <w:txbxContent>
                    <w:p w:rsidR="00DD1C9C" w:rsidRPr="00116915" w:rsidRDefault="00DD1C9C" w:rsidP="00EA331E">
                      <w:pPr>
                        <w:jc w:val="center"/>
                        <w:rPr>
                          <w:rFonts w:cs="Arial"/>
                          <w:b/>
                        </w:rPr>
                      </w:pPr>
                      <w:r w:rsidRPr="00C623C7">
                        <w:rPr>
                          <w:rFonts w:cs="Arial"/>
                          <w:b/>
                          <w:sz w:val="24"/>
                        </w:rPr>
                        <w:t>CAHIER DES C</w:t>
                      </w:r>
                      <w:r w:rsidRPr="0026092B">
                        <w:rPr>
                          <w:rFonts w:cs="Arial"/>
                          <w:b/>
                          <w:sz w:val="24"/>
                        </w:rPr>
                        <w:t>LAUSES ADMINISTRATIVES PARTICULIERES (CCAP)</w:t>
                      </w:r>
                      <w:r w:rsidRPr="0026092B">
                        <w:rPr>
                          <w:rFonts w:cs="Arial"/>
                          <w:b/>
                        </w:rPr>
                        <w:t xml:space="preserve"> </w:t>
                      </w:r>
                    </w:p>
                  </w:txbxContent>
                </v:textbox>
              </v:shape>
            </w:pict>
          </mc:Fallback>
        </mc:AlternateContent>
      </w:r>
    </w:p>
    <w:p w:rsidR="00EA331E" w:rsidRPr="002F39D4" w:rsidRDefault="00EA331E" w:rsidP="00032829">
      <w:pPr>
        <w:pStyle w:val="Pg1-numromarch"/>
        <w:ind w:left="0"/>
        <w:jc w:val="center"/>
        <w:rPr>
          <w:rFonts w:ascii="Arial" w:eastAsia="Batang" w:hAnsi="Arial" w:cs="Arial"/>
          <w:sz w:val="20"/>
          <w:szCs w:val="20"/>
        </w:rPr>
      </w:pPr>
    </w:p>
    <w:p w:rsidR="00EA331E" w:rsidRPr="002F39D4" w:rsidRDefault="00EA331E" w:rsidP="00032829">
      <w:pPr>
        <w:pStyle w:val="Pg1-numromarch"/>
        <w:ind w:left="2694"/>
        <w:jc w:val="center"/>
        <w:rPr>
          <w:rFonts w:ascii="Arial" w:eastAsia="Batang" w:hAnsi="Arial" w:cs="Arial"/>
          <w:sz w:val="20"/>
          <w:szCs w:val="20"/>
        </w:rPr>
      </w:pPr>
    </w:p>
    <w:p w:rsidR="00BD2814" w:rsidRDefault="00BD2814" w:rsidP="00032829">
      <w:pPr>
        <w:jc w:val="center"/>
        <w:rPr>
          <w:b/>
          <w:bCs/>
        </w:rPr>
      </w:pPr>
    </w:p>
    <w:p w:rsidR="00BD2814" w:rsidRDefault="00BD2814" w:rsidP="00032829">
      <w:pPr>
        <w:jc w:val="center"/>
        <w:rPr>
          <w:b/>
          <w:bCs/>
        </w:rPr>
      </w:pPr>
    </w:p>
    <w:p w:rsidR="00847775" w:rsidRPr="00785367" w:rsidRDefault="00847775" w:rsidP="00032829">
      <w:pPr>
        <w:jc w:val="center"/>
        <w:rPr>
          <w:b/>
          <w:bCs/>
          <w:sz w:val="24"/>
        </w:rPr>
      </w:pPr>
      <w:r w:rsidRPr="00785367">
        <w:rPr>
          <w:b/>
          <w:bCs/>
          <w:sz w:val="24"/>
        </w:rPr>
        <w:t>PROCEDURE N° AMU</w:t>
      </w:r>
      <w:r w:rsidR="00D72005" w:rsidRPr="00785367">
        <w:rPr>
          <w:b/>
          <w:bCs/>
          <w:sz w:val="24"/>
        </w:rPr>
        <w:t>96</w:t>
      </w:r>
      <w:r w:rsidR="00785367" w:rsidRPr="00785367">
        <w:rPr>
          <w:b/>
          <w:bCs/>
          <w:sz w:val="24"/>
        </w:rPr>
        <w:t>-</w:t>
      </w:r>
      <w:r w:rsidRPr="00785367">
        <w:rPr>
          <w:b/>
          <w:bCs/>
          <w:sz w:val="24"/>
        </w:rPr>
        <w:t>2023</w:t>
      </w:r>
      <w:r w:rsidR="00F46225">
        <w:rPr>
          <w:b/>
          <w:bCs/>
          <w:sz w:val="24"/>
        </w:rPr>
        <w:t>OF</w:t>
      </w:r>
    </w:p>
    <w:p w:rsidR="00847775" w:rsidRDefault="00847775" w:rsidP="00032829">
      <w:pPr>
        <w:jc w:val="center"/>
        <w:rPr>
          <w:b/>
          <w:bCs/>
        </w:rPr>
      </w:pPr>
    </w:p>
    <w:p w:rsidR="00BD2814" w:rsidRDefault="00BD2814" w:rsidP="00847775">
      <w:pPr>
        <w:rPr>
          <w:b/>
          <w:bCs/>
        </w:rPr>
      </w:pPr>
    </w:p>
    <w:p w:rsidR="00BD2814" w:rsidRDefault="00BD2814" w:rsidP="00847775">
      <w:pPr>
        <w:rPr>
          <w:b/>
          <w:bCs/>
        </w:rPr>
      </w:pPr>
    </w:p>
    <w:p w:rsidR="00BD2814" w:rsidRDefault="00BD2814" w:rsidP="00847775">
      <w:pPr>
        <w:rPr>
          <w:b/>
          <w:bCs/>
        </w:rPr>
      </w:pPr>
    </w:p>
    <w:p w:rsidR="00790C64" w:rsidRDefault="00790C64" w:rsidP="00F108DC">
      <w:pPr>
        <w:rPr>
          <w:rFonts w:ascii="Myriad Pro" w:hAnsi="Myriad Pro" w:cs="Arial"/>
          <w:b/>
          <w:sz w:val="22"/>
          <w:szCs w:val="22"/>
        </w:rPr>
      </w:pPr>
    </w:p>
    <w:p w:rsidR="00A82DC3" w:rsidRDefault="00BD2814" w:rsidP="00BD2814">
      <w:pPr>
        <w:pStyle w:val="TITRE100"/>
        <w:jc w:val="center"/>
        <w:rPr>
          <w:rFonts w:ascii="Cambria" w:hAnsi="Cambria"/>
          <w:color w:val="4472C4"/>
        </w:rPr>
      </w:pPr>
      <w:bookmarkStart w:id="1" w:name="_Toc133582124"/>
      <w:bookmarkStart w:id="2" w:name="_Toc133586757"/>
      <w:bookmarkStart w:id="3" w:name="_Toc133586994"/>
      <w:bookmarkStart w:id="4" w:name="_Toc220465830"/>
      <w:r>
        <w:rPr>
          <w:rFonts w:ascii="Cambria" w:hAnsi="Cambria"/>
          <w:color w:val="4472C4"/>
        </w:rPr>
        <w:br w:type="page"/>
      </w:r>
      <w:bookmarkEnd w:id="1"/>
      <w:bookmarkEnd w:id="2"/>
      <w:bookmarkEnd w:id="3"/>
    </w:p>
    <w:p w:rsidR="00790C64" w:rsidRDefault="00790C64" w:rsidP="00253797">
      <w:pPr>
        <w:pStyle w:val="Titre4"/>
      </w:pPr>
    </w:p>
    <w:p w:rsidR="00E842D4" w:rsidRDefault="00253797">
      <w:pPr>
        <w:pStyle w:val="TM1"/>
        <w:rPr>
          <w:rFonts w:asciiTheme="minorHAnsi" w:eastAsiaTheme="minorEastAsia" w:hAnsiTheme="minorHAnsi" w:cstheme="minorBidi"/>
          <w:b w:val="0"/>
          <w:sz w:val="22"/>
          <w:szCs w:val="22"/>
        </w:rPr>
      </w:pPr>
      <w:r>
        <w:fldChar w:fldCharType="begin"/>
      </w:r>
      <w:r>
        <w:instrText xml:space="preserve"> TOC \h \z \t "Titre 2;2;Titre 3;3;TITRE 10;1" </w:instrText>
      </w:r>
      <w:r>
        <w:fldChar w:fldCharType="separate"/>
      </w:r>
      <w:hyperlink w:anchor="_Toc148692582" w:history="1">
        <w:r w:rsidR="00E842D4" w:rsidRPr="006051D5">
          <w:rPr>
            <w:rStyle w:val="Lienhypertexte"/>
          </w:rPr>
          <w:t>ARTICLE 1 - OBJET DU MARCHE ET DÉSIGNATIONS DES COCONTRACTANTS - DISPOSITIONS GENERALES</w:t>
        </w:r>
        <w:r w:rsidR="00E842D4">
          <w:rPr>
            <w:webHidden/>
          </w:rPr>
          <w:tab/>
        </w:r>
        <w:r w:rsidR="00E842D4">
          <w:rPr>
            <w:webHidden/>
          </w:rPr>
          <w:fldChar w:fldCharType="begin"/>
        </w:r>
        <w:r w:rsidR="00E842D4">
          <w:rPr>
            <w:webHidden/>
          </w:rPr>
          <w:instrText xml:space="preserve"> PAGEREF _Toc148692582 \h </w:instrText>
        </w:r>
        <w:r w:rsidR="00E842D4">
          <w:rPr>
            <w:webHidden/>
          </w:rPr>
        </w:r>
        <w:r w:rsidR="00E842D4">
          <w:rPr>
            <w:webHidden/>
          </w:rPr>
          <w:fldChar w:fldCharType="separate"/>
        </w:r>
        <w:r w:rsidR="00E842D4">
          <w:rPr>
            <w:webHidden/>
          </w:rPr>
          <w:t>4</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83" w:history="1">
        <w:r w:rsidR="00E842D4" w:rsidRPr="006051D5">
          <w:rPr>
            <w:rStyle w:val="Lienhypertexte"/>
          </w:rPr>
          <w:t>1.1 Objet - Allotissement</w:t>
        </w:r>
        <w:r w:rsidR="00E842D4">
          <w:rPr>
            <w:webHidden/>
          </w:rPr>
          <w:tab/>
        </w:r>
        <w:r w:rsidR="00E842D4">
          <w:rPr>
            <w:webHidden/>
          </w:rPr>
          <w:fldChar w:fldCharType="begin"/>
        </w:r>
        <w:r w:rsidR="00E842D4">
          <w:rPr>
            <w:webHidden/>
          </w:rPr>
          <w:instrText xml:space="preserve"> PAGEREF _Toc148692583 \h </w:instrText>
        </w:r>
        <w:r w:rsidR="00E842D4">
          <w:rPr>
            <w:webHidden/>
          </w:rPr>
        </w:r>
        <w:r w:rsidR="00E842D4">
          <w:rPr>
            <w:webHidden/>
          </w:rPr>
          <w:fldChar w:fldCharType="separate"/>
        </w:r>
        <w:r w:rsidR="00E842D4">
          <w:rPr>
            <w:webHidden/>
          </w:rPr>
          <w:t>4</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84" w:history="1">
        <w:r w:rsidR="00E842D4" w:rsidRPr="006051D5">
          <w:rPr>
            <w:rStyle w:val="Lienhypertexte"/>
          </w:rPr>
          <w:t>1.2 Périmètre de l’accord-cadre</w:t>
        </w:r>
        <w:r w:rsidR="00E842D4">
          <w:rPr>
            <w:webHidden/>
          </w:rPr>
          <w:tab/>
        </w:r>
        <w:r w:rsidR="00E842D4">
          <w:rPr>
            <w:webHidden/>
          </w:rPr>
          <w:fldChar w:fldCharType="begin"/>
        </w:r>
        <w:r w:rsidR="00E842D4">
          <w:rPr>
            <w:webHidden/>
          </w:rPr>
          <w:instrText xml:space="preserve"> PAGEREF _Toc148692584 \h </w:instrText>
        </w:r>
        <w:r w:rsidR="00E842D4">
          <w:rPr>
            <w:webHidden/>
          </w:rPr>
        </w:r>
        <w:r w:rsidR="00E842D4">
          <w:rPr>
            <w:webHidden/>
          </w:rPr>
          <w:fldChar w:fldCharType="separate"/>
        </w:r>
        <w:r w:rsidR="00E842D4">
          <w:rPr>
            <w:webHidden/>
          </w:rPr>
          <w:t>4</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585" w:history="1">
        <w:r w:rsidR="00E842D4" w:rsidRPr="006051D5">
          <w:rPr>
            <w:rStyle w:val="Lienhypertexte"/>
          </w:rPr>
          <w:t>ARTICLE 2 – PROCEDURE ET FORME</w:t>
        </w:r>
        <w:r w:rsidR="00E842D4">
          <w:rPr>
            <w:webHidden/>
          </w:rPr>
          <w:tab/>
        </w:r>
        <w:r w:rsidR="00E842D4">
          <w:rPr>
            <w:webHidden/>
          </w:rPr>
          <w:fldChar w:fldCharType="begin"/>
        </w:r>
        <w:r w:rsidR="00E842D4">
          <w:rPr>
            <w:webHidden/>
          </w:rPr>
          <w:instrText xml:space="preserve"> PAGEREF _Toc148692585 \h </w:instrText>
        </w:r>
        <w:r w:rsidR="00E842D4">
          <w:rPr>
            <w:webHidden/>
          </w:rPr>
        </w:r>
        <w:r w:rsidR="00E842D4">
          <w:rPr>
            <w:webHidden/>
          </w:rPr>
          <w:fldChar w:fldCharType="separate"/>
        </w:r>
        <w:r w:rsidR="00E842D4">
          <w:rPr>
            <w:webHidden/>
          </w:rPr>
          <w:t>4</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86" w:history="1">
        <w:r w:rsidR="00E842D4" w:rsidRPr="006051D5">
          <w:rPr>
            <w:rStyle w:val="Lienhypertexte"/>
          </w:rPr>
          <w:t>2.1 Procédure de passation</w:t>
        </w:r>
        <w:r w:rsidR="00E842D4">
          <w:rPr>
            <w:webHidden/>
          </w:rPr>
          <w:tab/>
        </w:r>
        <w:r w:rsidR="00E842D4">
          <w:rPr>
            <w:webHidden/>
          </w:rPr>
          <w:fldChar w:fldCharType="begin"/>
        </w:r>
        <w:r w:rsidR="00E842D4">
          <w:rPr>
            <w:webHidden/>
          </w:rPr>
          <w:instrText xml:space="preserve"> PAGEREF _Toc148692586 \h </w:instrText>
        </w:r>
        <w:r w:rsidR="00E842D4">
          <w:rPr>
            <w:webHidden/>
          </w:rPr>
        </w:r>
        <w:r w:rsidR="00E842D4">
          <w:rPr>
            <w:webHidden/>
          </w:rPr>
          <w:fldChar w:fldCharType="separate"/>
        </w:r>
        <w:r w:rsidR="00E842D4">
          <w:rPr>
            <w:webHidden/>
          </w:rPr>
          <w:t>4</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87" w:history="1">
        <w:r w:rsidR="00E842D4" w:rsidRPr="006051D5">
          <w:rPr>
            <w:rStyle w:val="Lienhypertexte"/>
          </w:rPr>
          <w:t>2.2 Forme de l’accord cadre et des marchés subséquents</w:t>
        </w:r>
        <w:r w:rsidR="00E842D4">
          <w:rPr>
            <w:webHidden/>
          </w:rPr>
          <w:tab/>
        </w:r>
        <w:r w:rsidR="00E842D4">
          <w:rPr>
            <w:webHidden/>
          </w:rPr>
          <w:fldChar w:fldCharType="begin"/>
        </w:r>
        <w:r w:rsidR="00E842D4">
          <w:rPr>
            <w:webHidden/>
          </w:rPr>
          <w:instrText xml:space="preserve"> PAGEREF _Toc148692587 \h </w:instrText>
        </w:r>
        <w:r w:rsidR="00E842D4">
          <w:rPr>
            <w:webHidden/>
          </w:rPr>
        </w:r>
        <w:r w:rsidR="00E842D4">
          <w:rPr>
            <w:webHidden/>
          </w:rPr>
          <w:fldChar w:fldCharType="separate"/>
        </w:r>
        <w:r w:rsidR="00E842D4">
          <w:rPr>
            <w:webHidden/>
          </w:rPr>
          <w:t>4</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588" w:history="1">
        <w:r w:rsidR="00E842D4" w:rsidRPr="006051D5">
          <w:rPr>
            <w:rStyle w:val="Lienhypertexte"/>
          </w:rPr>
          <w:t>ARTICLE 3 – DUREE DU MARCHE – DEMARRAGE DES PRESTATIONS</w:t>
        </w:r>
        <w:r w:rsidR="00E842D4">
          <w:rPr>
            <w:webHidden/>
          </w:rPr>
          <w:tab/>
        </w:r>
        <w:r w:rsidR="00E842D4">
          <w:rPr>
            <w:webHidden/>
          </w:rPr>
          <w:fldChar w:fldCharType="begin"/>
        </w:r>
        <w:r w:rsidR="00E842D4">
          <w:rPr>
            <w:webHidden/>
          </w:rPr>
          <w:instrText xml:space="preserve"> PAGEREF _Toc148692588 \h </w:instrText>
        </w:r>
        <w:r w:rsidR="00E842D4">
          <w:rPr>
            <w:webHidden/>
          </w:rPr>
        </w:r>
        <w:r w:rsidR="00E842D4">
          <w:rPr>
            <w:webHidden/>
          </w:rPr>
          <w:fldChar w:fldCharType="separate"/>
        </w:r>
        <w:r w:rsidR="00E842D4">
          <w:rPr>
            <w:webHidden/>
          </w:rPr>
          <w:t>5</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89" w:history="1">
        <w:r w:rsidR="00E842D4" w:rsidRPr="006051D5">
          <w:rPr>
            <w:rStyle w:val="Lienhypertexte"/>
          </w:rPr>
          <w:t>3.1 Durée</w:t>
        </w:r>
        <w:r w:rsidR="00E842D4">
          <w:rPr>
            <w:webHidden/>
          </w:rPr>
          <w:tab/>
        </w:r>
        <w:r w:rsidR="00E842D4">
          <w:rPr>
            <w:webHidden/>
          </w:rPr>
          <w:fldChar w:fldCharType="begin"/>
        </w:r>
        <w:r w:rsidR="00E842D4">
          <w:rPr>
            <w:webHidden/>
          </w:rPr>
          <w:instrText xml:space="preserve"> PAGEREF _Toc148692589 \h </w:instrText>
        </w:r>
        <w:r w:rsidR="00E842D4">
          <w:rPr>
            <w:webHidden/>
          </w:rPr>
        </w:r>
        <w:r w:rsidR="00E842D4">
          <w:rPr>
            <w:webHidden/>
          </w:rPr>
          <w:fldChar w:fldCharType="separate"/>
        </w:r>
        <w:r w:rsidR="00E842D4">
          <w:rPr>
            <w:webHidden/>
          </w:rPr>
          <w:t>5</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90" w:history="1">
        <w:r w:rsidR="00E842D4" w:rsidRPr="006051D5">
          <w:rPr>
            <w:rStyle w:val="Lienhypertexte"/>
          </w:rPr>
          <w:t>3.2 Durée des marchés subséquents</w:t>
        </w:r>
        <w:r w:rsidR="00E842D4">
          <w:rPr>
            <w:webHidden/>
          </w:rPr>
          <w:tab/>
        </w:r>
        <w:r w:rsidR="00E842D4">
          <w:rPr>
            <w:webHidden/>
          </w:rPr>
          <w:fldChar w:fldCharType="begin"/>
        </w:r>
        <w:r w:rsidR="00E842D4">
          <w:rPr>
            <w:webHidden/>
          </w:rPr>
          <w:instrText xml:space="preserve"> PAGEREF _Toc148692590 \h </w:instrText>
        </w:r>
        <w:r w:rsidR="00E842D4">
          <w:rPr>
            <w:webHidden/>
          </w:rPr>
        </w:r>
        <w:r w:rsidR="00E842D4">
          <w:rPr>
            <w:webHidden/>
          </w:rPr>
          <w:fldChar w:fldCharType="separate"/>
        </w:r>
        <w:r w:rsidR="00E842D4">
          <w:rPr>
            <w:webHidden/>
          </w:rPr>
          <w:t>5</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91" w:history="1">
        <w:r w:rsidR="00E842D4" w:rsidRPr="006051D5">
          <w:rPr>
            <w:rStyle w:val="Lienhypertexte"/>
          </w:rPr>
          <w:t>3.3 Démarrage des prestations</w:t>
        </w:r>
        <w:r w:rsidR="00E842D4">
          <w:rPr>
            <w:webHidden/>
          </w:rPr>
          <w:tab/>
        </w:r>
        <w:r w:rsidR="00E842D4">
          <w:rPr>
            <w:webHidden/>
          </w:rPr>
          <w:fldChar w:fldCharType="begin"/>
        </w:r>
        <w:r w:rsidR="00E842D4">
          <w:rPr>
            <w:webHidden/>
          </w:rPr>
          <w:instrText xml:space="preserve"> PAGEREF _Toc148692591 \h </w:instrText>
        </w:r>
        <w:r w:rsidR="00E842D4">
          <w:rPr>
            <w:webHidden/>
          </w:rPr>
        </w:r>
        <w:r w:rsidR="00E842D4">
          <w:rPr>
            <w:webHidden/>
          </w:rPr>
          <w:fldChar w:fldCharType="separate"/>
        </w:r>
        <w:r w:rsidR="00E842D4">
          <w:rPr>
            <w:webHidden/>
          </w:rPr>
          <w:t>5</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592" w:history="1">
        <w:r w:rsidR="00E842D4" w:rsidRPr="006051D5">
          <w:rPr>
            <w:rStyle w:val="Lienhypertexte"/>
          </w:rPr>
          <w:t>Article 4 - PIECES CONSTITUTIVES DE l’ACCORD CADRE ET DES MARCHES SUBSEQUENTS</w:t>
        </w:r>
        <w:r w:rsidR="00E842D4">
          <w:rPr>
            <w:webHidden/>
          </w:rPr>
          <w:tab/>
        </w:r>
        <w:r w:rsidR="00E842D4">
          <w:rPr>
            <w:webHidden/>
          </w:rPr>
          <w:fldChar w:fldCharType="begin"/>
        </w:r>
        <w:r w:rsidR="00E842D4">
          <w:rPr>
            <w:webHidden/>
          </w:rPr>
          <w:instrText xml:space="preserve"> PAGEREF _Toc148692592 \h </w:instrText>
        </w:r>
        <w:r w:rsidR="00E842D4">
          <w:rPr>
            <w:webHidden/>
          </w:rPr>
        </w:r>
        <w:r w:rsidR="00E842D4">
          <w:rPr>
            <w:webHidden/>
          </w:rPr>
          <w:fldChar w:fldCharType="separate"/>
        </w:r>
        <w:r w:rsidR="00E842D4">
          <w:rPr>
            <w:webHidden/>
          </w:rPr>
          <w:t>5</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593" w:history="1">
        <w:r w:rsidR="00E842D4" w:rsidRPr="006051D5">
          <w:rPr>
            <w:rStyle w:val="Lienhypertexte"/>
          </w:rPr>
          <w:t>ARTICLE 5 – MAITRISE D’OUVRAGE ET INTERVENANTS LIES</w:t>
        </w:r>
        <w:r w:rsidR="00E842D4">
          <w:rPr>
            <w:webHidden/>
          </w:rPr>
          <w:tab/>
        </w:r>
        <w:r w:rsidR="00E842D4">
          <w:rPr>
            <w:webHidden/>
          </w:rPr>
          <w:fldChar w:fldCharType="begin"/>
        </w:r>
        <w:r w:rsidR="00E842D4">
          <w:rPr>
            <w:webHidden/>
          </w:rPr>
          <w:instrText xml:space="preserve"> PAGEREF _Toc148692593 \h </w:instrText>
        </w:r>
        <w:r w:rsidR="00E842D4">
          <w:rPr>
            <w:webHidden/>
          </w:rPr>
        </w:r>
        <w:r w:rsidR="00E842D4">
          <w:rPr>
            <w:webHidden/>
          </w:rPr>
          <w:fldChar w:fldCharType="separate"/>
        </w:r>
        <w:r w:rsidR="00E842D4">
          <w:rPr>
            <w:webHidden/>
          </w:rPr>
          <w:t>5</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94" w:history="1">
        <w:r w:rsidR="00E842D4" w:rsidRPr="006051D5">
          <w:rPr>
            <w:rStyle w:val="Lienhypertexte"/>
          </w:rPr>
          <w:t>5.1 Maître d’ouvrage</w:t>
        </w:r>
        <w:r w:rsidR="00E842D4">
          <w:rPr>
            <w:webHidden/>
          </w:rPr>
          <w:tab/>
        </w:r>
        <w:r w:rsidR="00E842D4">
          <w:rPr>
            <w:webHidden/>
          </w:rPr>
          <w:fldChar w:fldCharType="begin"/>
        </w:r>
        <w:r w:rsidR="00E842D4">
          <w:rPr>
            <w:webHidden/>
          </w:rPr>
          <w:instrText xml:space="preserve"> PAGEREF _Toc148692594 \h </w:instrText>
        </w:r>
        <w:r w:rsidR="00E842D4">
          <w:rPr>
            <w:webHidden/>
          </w:rPr>
        </w:r>
        <w:r w:rsidR="00E842D4">
          <w:rPr>
            <w:webHidden/>
          </w:rPr>
          <w:fldChar w:fldCharType="separate"/>
        </w:r>
        <w:r w:rsidR="00E842D4">
          <w:rPr>
            <w:webHidden/>
          </w:rPr>
          <w:t>6</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95" w:history="1">
        <w:r w:rsidR="00E842D4" w:rsidRPr="006051D5">
          <w:rPr>
            <w:rStyle w:val="Lienhypertexte"/>
          </w:rPr>
          <w:t>5.2 Les utilisateurs</w:t>
        </w:r>
        <w:r w:rsidR="00E842D4">
          <w:rPr>
            <w:webHidden/>
          </w:rPr>
          <w:tab/>
        </w:r>
        <w:r w:rsidR="00E842D4">
          <w:rPr>
            <w:webHidden/>
          </w:rPr>
          <w:fldChar w:fldCharType="begin"/>
        </w:r>
        <w:r w:rsidR="00E842D4">
          <w:rPr>
            <w:webHidden/>
          </w:rPr>
          <w:instrText xml:space="preserve"> PAGEREF _Toc148692595 \h </w:instrText>
        </w:r>
        <w:r w:rsidR="00E842D4">
          <w:rPr>
            <w:webHidden/>
          </w:rPr>
        </w:r>
        <w:r w:rsidR="00E842D4">
          <w:rPr>
            <w:webHidden/>
          </w:rPr>
          <w:fldChar w:fldCharType="separate"/>
        </w:r>
        <w:r w:rsidR="00E842D4">
          <w:rPr>
            <w:webHidden/>
          </w:rPr>
          <w:t>6</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96" w:history="1">
        <w:r w:rsidR="00E842D4" w:rsidRPr="006051D5">
          <w:rPr>
            <w:rStyle w:val="Lienhypertexte"/>
          </w:rPr>
          <w:t>5.3 Le contrôleur technique</w:t>
        </w:r>
        <w:r w:rsidR="00E842D4">
          <w:rPr>
            <w:webHidden/>
          </w:rPr>
          <w:tab/>
        </w:r>
        <w:r w:rsidR="00E842D4">
          <w:rPr>
            <w:webHidden/>
          </w:rPr>
          <w:fldChar w:fldCharType="begin"/>
        </w:r>
        <w:r w:rsidR="00E842D4">
          <w:rPr>
            <w:webHidden/>
          </w:rPr>
          <w:instrText xml:space="preserve"> PAGEREF _Toc148692596 \h </w:instrText>
        </w:r>
        <w:r w:rsidR="00E842D4">
          <w:rPr>
            <w:webHidden/>
          </w:rPr>
        </w:r>
        <w:r w:rsidR="00E842D4">
          <w:rPr>
            <w:webHidden/>
          </w:rPr>
          <w:fldChar w:fldCharType="separate"/>
        </w:r>
        <w:r w:rsidR="00E842D4">
          <w:rPr>
            <w:webHidden/>
          </w:rPr>
          <w:t>6</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97" w:history="1">
        <w:r w:rsidR="00E842D4" w:rsidRPr="006051D5">
          <w:rPr>
            <w:rStyle w:val="Lienhypertexte"/>
          </w:rPr>
          <w:t>5.4 Le coordonnateur en matière de sécurité et de protection de la santé</w:t>
        </w:r>
        <w:r w:rsidR="00E842D4">
          <w:rPr>
            <w:webHidden/>
          </w:rPr>
          <w:tab/>
        </w:r>
        <w:r w:rsidR="00E842D4">
          <w:rPr>
            <w:webHidden/>
          </w:rPr>
          <w:fldChar w:fldCharType="begin"/>
        </w:r>
        <w:r w:rsidR="00E842D4">
          <w:rPr>
            <w:webHidden/>
          </w:rPr>
          <w:instrText xml:space="preserve"> PAGEREF _Toc148692597 \h </w:instrText>
        </w:r>
        <w:r w:rsidR="00E842D4">
          <w:rPr>
            <w:webHidden/>
          </w:rPr>
        </w:r>
        <w:r w:rsidR="00E842D4">
          <w:rPr>
            <w:webHidden/>
          </w:rPr>
          <w:fldChar w:fldCharType="separate"/>
        </w:r>
        <w:r w:rsidR="00E842D4">
          <w:rPr>
            <w:webHidden/>
          </w:rPr>
          <w:t>7</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598" w:history="1">
        <w:r w:rsidR="00E842D4" w:rsidRPr="006051D5">
          <w:rPr>
            <w:rStyle w:val="Lienhypertexte"/>
          </w:rPr>
          <w:t>ARTICLE 6 – ETENDUES DES PRESTATIONS</w:t>
        </w:r>
        <w:r w:rsidR="00E842D4">
          <w:rPr>
            <w:webHidden/>
          </w:rPr>
          <w:tab/>
        </w:r>
        <w:r w:rsidR="00E842D4">
          <w:rPr>
            <w:webHidden/>
          </w:rPr>
          <w:fldChar w:fldCharType="begin"/>
        </w:r>
        <w:r w:rsidR="00E842D4">
          <w:rPr>
            <w:webHidden/>
          </w:rPr>
          <w:instrText xml:space="preserve"> PAGEREF _Toc148692598 \h </w:instrText>
        </w:r>
        <w:r w:rsidR="00E842D4">
          <w:rPr>
            <w:webHidden/>
          </w:rPr>
        </w:r>
        <w:r w:rsidR="00E842D4">
          <w:rPr>
            <w:webHidden/>
          </w:rPr>
          <w:fldChar w:fldCharType="separate"/>
        </w:r>
        <w:r w:rsidR="00E842D4">
          <w:rPr>
            <w:webHidden/>
          </w:rPr>
          <w:t>7</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599" w:history="1">
        <w:r w:rsidR="00E842D4" w:rsidRPr="006051D5">
          <w:rPr>
            <w:rStyle w:val="Lienhypertexte"/>
          </w:rPr>
          <w:t>6.1 Nature des prestations à réaliser et modalités d’exécution des prestations</w:t>
        </w:r>
        <w:r w:rsidR="00E842D4">
          <w:rPr>
            <w:webHidden/>
          </w:rPr>
          <w:tab/>
        </w:r>
        <w:r w:rsidR="00E842D4">
          <w:rPr>
            <w:webHidden/>
          </w:rPr>
          <w:fldChar w:fldCharType="begin"/>
        </w:r>
        <w:r w:rsidR="00E842D4">
          <w:rPr>
            <w:webHidden/>
          </w:rPr>
          <w:instrText xml:space="preserve"> PAGEREF _Toc148692599 \h </w:instrText>
        </w:r>
        <w:r w:rsidR="00E842D4">
          <w:rPr>
            <w:webHidden/>
          </w:rPr>
        </w:r>
        <w:r w:rsidR="00E842D4">
          <w:rPr>
            <w:webHidden/>
          </w:rPr>
          <w:fldChar w:fldCharType="separate"/>
        </w:r>
        <w:r w:rsidR="00E842D4">
          <w:rPr>
            <w:webHidden/>
          </w:rPr>
          <w:t>7</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0" w:history="1">
        <w:r w:rsidR="00E842D4" w:rsidRPr="006051D5">
          <w:rPr>
            <w:rStyle w:val="Lienhypertexte"/>
          </w:rPr>
          <w:t>6.2 Livrables attendus et délais d’exécution</w:t>
        </w:r>
        <w:r w:rsidR="00E842D4">
          <w:rPr>
            <w:webHidden/>
          </w:rPr>
          <w:tab/>
        </w:r>
        <w:r w:rsidR="00E842D4">
          <w:rPr>
            <w:webHidden/>
          </w:rPr>
          <w:fldChar w:fldCharType="begin"/>
        </w:r>
        <w:r w:rsidR="00E842D4">
          <w:rPr>
            <w:webHidden/>
          </w:rPr>
          <w:instrText xml:space="preserve"> PAGEREF _Toc148692600 \h </w:instrText>
        </w:r>
        <w:r w:rsidR="00E842D4">
          <w:rPr>
            <w:webHidden/>
          </w:rPr>
        </w:r>
        <w:r w:rsidR="00E842D4">
          <w:rPr>
            <w:webHidden/>
          </w:rPr>
          <w:fldChar w:fldCharType="separate"/>
        </w:r>
        <w:r w:rsidR="00E842D4">
          <w:rPr>
            <w:webHidden/>
          </w:rPr>
          <w:t>7</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1" w:history="1">
        <w:r w:rsidR="00E842D4" w:rsidRPr="006051D5">
          <w:rPr>
            <w:rStyle w:val="Lienhypertexte"/>
          </w:rPr>
          <w:t>6.3 Prestations similaires</w:t>
        </w:r>
        <w:r w:rsidR="00E842D4">
          <w:rPr>
            <w:webHidden/>
          </w:rPr>
          <w:tab/>
        </w:r>
        <w:r w:rsidR="00E842D4">
          <w:rPr>
            <w:webHidden/>
          </w:rPr>
          <w:fldChar w:fldCharType="begin"/>
        </w:r>
        <w:r w:rsidR="00E842D4">
          <w:rPr>
            <w:webHidden/>
          </w:rPr>
          <w:instrText xml:space="preserve"> PAGEREF _Toc148692601 \h </w:instrText>
        </w:r>
        <w:r w:rsidR="00E842D4">
          <w:rPr>
            <w:webHidden/>
          </w:rPr>
        </w:r>
        <w:r w:rsidR="00E842D4">
          <w:rPr>
            <w:webHidden/>
          </w:rPr>
          <w:fldChar w:fldCharType="separate"/>
        </w:r>
        <w:r w:rsidR="00E842D4">
          <w:rPr>
            <w:webHidden/>
          </w:rPr>
          <w:t>8</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2" w:history="1">
        <w:r w:rsidR="00E842D4" w:rsidRPr="006051D5">
          <w:rPr>
            <w:rStyle w:val="Lienhypertexte"/>
          </w:rPr>
          <w:t>6.4 Contraintes générales</w:t>
        </w:r>
        <w:r w:rsidR="00E842D4">
          <w:rPr>
            <w:webHidden/>
          </w:rPr>
          <w:tab/>
        </w:r>
        <w:r w:rsidR="00E842D4">
          <w:rPr>
            <w:webHidden/>
          </w:rPr>
          <w:fldChar w:fldCharType="begin"/>
        </w:r>
        <w:r w:rsidR="00E842D4">
          <w:rPr>
            <w:webHidden/>
          </w:rPr>
          <w:instrText xml:space="preserve"> PAGEREF _Toc148692602 \h </w:instrText>
        </w:r>
        <w:r w:rsidR="00E842D4">
          <w:rPr>
            <w:webHidden/>
          </w:rPr>
        </w:r>
        <w:r w:rsidR="00E842D4">
          <w:rPr>
            <w:webHidden/>
          </w:rPr>
          <w:fldChar w:fldCharType="separate"/>
        </w:r>
        <w:r w:rsidR="00E842D4">
          <w:rPr>
            <w:webHidden/>
          </w:rPr>
          <w:t>8</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3" w:history="1">
        <w:r w:rsidR="00E842D4" w:rsidRPr="006051D5">
          <w:rPr>
            <w:rStyle w:val="Lienhypertexte"/>
          </w:rPr>
          <w:t>6.5 Conduite du projet</w:t>
        </w:r>
        <w:r w:rsidR="00E842D4">
          <w:rPr>
            <w:webHidden/>
          </w:rPr>
          <w:tab/>
        </w:r>
        <w:r w:rsidR="00E842D4">
          <w:rPr>
            <w:webHidden/>
          </w:rPr>
          <w:fldChar w:fldCharType="begin"/>
        </w:r>
        <w:r w:rsidR="00E842D4">
          <w:rPr>
            <w:webHidden/>
          </w:rPr>
          <w:instrText xml:space="preserve"> PAGEREF _Toc148692603 \h </w:instrText>
        </w:r>
        <w:r w:rsidR="00E842D4">
          <w:rPr>
            <w:webHidden/>
          </w:rPr>
        </w:r>
        <w:r w:rsidR="00E842D4">
          <w:rPr>
            <w:webHidden/>
          </w:rPr>
          <w:fldChar w:fldCharType="separate"/>
        </w:r>
        <w:r w:rsidR="00E842D4">
          <w:rPr>
            <w:webHidden/>
          </w:rPr>
          <w:t>8</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04" w:history="1">
        <w:r w:rsidR="00E842D4" w:rsidRPr="006051D5">
          <w:rPr>
            <w:rStyle w:val="Lienhypertexte"/>
          </w:rPr>
          <w:t>ARTICLE 7 – OBLIGATIONS GENERALES DU TITULAIRE</w:t>
        </w:r>
        <w:r w:rsidR="00E842D4">
          <w:rPr>
            <w:webHidden/>
          </w:rPr>
          <w:tab/>
        </w:r>
        <w:r w:rsidR="00E842D4">
          <w:rPr>
            <w:webHidden/>
          </w:rPr>
          <w:fldChar w:fldCharType="begin"/>
        </w:r>
        <w:r w:rsidR="00E842D4">
          <w:rPr>
            <w:webHidden/>
          </w:rPr>
          <w:instrText xml:space="preserve"> PAGEREF _Toc148692604 \h </w:instrText>
        </w:r>
        <w:r w:rsidR="00E842D4">
          <w:rPr>
            <w:webHidden/>
          </w:rPr>
        </w:r>
        <w:r w:rsidR="00E842D4">
          <w:rPr>
            <w:webHidden/>
          </w:rPr>
          <w:fldChar w:fldCharType="separate"/>
        </w:r>
        <w:r w:rsidR="00E842D4">
          <w:rPr>
            <w:webHidden/>
          </w:rPr>
          <w:t>10</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5" w:history="1">
        <w:r w:rsidR="00E842D4" w:rsidRPr="006051D5">
          <w:rPr>
            <w:rStyle w:val="Lienhypertexte"/>
          </w:rPr>
          <w:t>7.1 Obligations du titulaire</w:t>
        </w:r>
        <w:r w:rsidR="00E842D4">
          <w:rPr>
            <w:webHidden/>
          </w:rPr>
          <w:tab/>
        </w:r>
        <w:r w:rsidR="00E842D4">
          <w:rPr>
            <w:webHidden/>
          </w:rPr>
          <w:fldChar w:fldCharType="begin"/>
        </w:r>
        <w:r w:rsidR="00E842D4">
          <w:rPr>
            <w:webHidden/>
          </w:rPr>
          <w:instrText xml:space="preserve"> PAGEREF _Toc148692605 \h </w:instrText>
        </w:r>
        <w:r w:rsidR="00E842D4">
          <w:rPr>
            <w:webHidden/>
          </w:rPr>
        </w:r>
        <w:r w:rsidR="00E842D4">
          <w:rPr>
            <w:webHidden/>
          </w:rPr>
          <w:fldChar w:fldCharType="separate"/>
        </w:r>
        <w:r w:rsidR="00E842D4">
          <w:rPr>
            <w:webHidden/>
          </w:rPr>
          <w:t>10</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6" w:history="1">
        <w:r w:rsidR="00E842D4" w:rsidRPr="006051D5">
          <w:rPr>
            <w:rStyle w:val="Lienhypertexte"/>
          </w:rPr>
          <w:t>7.2 Responsabilité</w:t>
        </w:r>
        <w:r w:rsidR="00E842D4">
          <w:rPr>
            <w:webHidden/>
          </w:rPr>
          <w:tab/>
        </w:r>
        <w:r w:rsidR="00E842D4">
          <w:rPr>
            <w:webHidden/>
          </w:rPr>
          <w:fldChar w:fldCharType="begin"/>
        </w:r>
        <w:r w:rsidR="00E842D4">
          <w:rPr>
            <w:webHidden/>
          </w:rPr>
          <w:instrText xml:space="preserve"> PAGEREF _Toc148692606 \h </w:instrText>
        </w:r>
        <w:r w:rsidR="00E842D4">
          <w:rPr>
            <w:webHidden/>
          </w:rPr>
        </w:r>
        <w:r w:rsidR="00E842D4">
          <w:rPr>
            <w:webHidden/>
          </w:rPr>
          <w:fldChar w:fldCharType="separate"/>
        </w:r>
        <w:r w:rsidR="00E842D4">
          <w:rPr>
            <w:webHidden/>
          </w:rPr>
          <w:t>10</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7" w:history="1">
        <w:r w:rsidR="00E842D4" w:rsidRPr="006051D5">
          <w:rPr>
            <w:rStyle w:val="Lienhypertexte"/>
          </w:rPr>
          <w:t>7.3 Confidentialité</w:t>
        </w:r>
        <w:r w:rsidR="00E842D4">
          <w:rPr>
            <w:webHidden/>
          </w:rPr>
          <w:tab/>
        </w:r>
        <w:r w:rsidR="00E842D4">
          <w:rPr>
            <w:webHidden/>
          </w:rPr>
          <w:fldChar w:fldCharType="begin"/>
        </w:r>
        <w:r w:rsidR="00E842D4">
          <w:rPr>
            <w:webHidden/>
          </w:rPr>
          <w:instrText xml:space="preserve"> PAGEREF _Toc148692607 \h </w:instrText>
        </w:r>
        <w:r w:rsidR="00E842D4">
          <w:rPr>
            <w:webHidden/>
          </w:rPr>
        </w:r>
        <w:r w:rsidR="00E842D4">
          <w:rPr>
            <w:webHidden/>
          </w:rPr>
          <w:fldChar w:fldCharType="separate"/>
        </w:r>
        <w:r w:rsidR="00E842D4">
          <w:rPr>
            <w:webHidden/>
          </w:rPr>
          <w:t>11</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8" w:history="1">
        <w:r w:rsidR="00E842D4" w:rsidRPr="006051D5">
          <w:rPr>
            <w:rStyle w:val="Lienhypertexte"/>
          </w:rPr>
          <w:t>7.4 Règlement européen de protection des données personnelles (RGPD) - données à caractère personnel</w:t>
        </w:r>
        <w:r w:rsidR="00E842D4">
          <w:rPr>
            <w:webHidden/>
          </w:rPr>
          <w:tab/>
        </w:r>
        <w:r w:rsidR="00E842D4">
          <w:rPr>
            <w:webHidden/>
          </w:rPr>
          <w:fldChar w:fldCharType="begin"/>
        </w:r>
        <w:r w:rsidR="00E842D4">
          <w:rPr>
            <w:webHidden/>
          </w:rPr>
          <w:instrText xml:space="preserve"> PAGEREF _Toc148692608 \h </w:instrText>
        </w:r>
        <w:r w:rsidR="00E842D4">
          <w:rPr>
            <w:webHidden/>
          </w:rPr>
        </w:r>
        <w:r w:rsidR="00E842D4">
          <w:rPr>
            <w:webHidden/>
          </w:rPr>
          <w:fldChar w:fldCharType="separate"/>
        </w:r>
        <w:r w:rsidR="00E842D4">
          <w:rPr>
            <w:webHidden/>
          </w:rPr>
          <w:t>11</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09" w:history="1">
        <w:r w:rsidR="00E842D4" w:rsidRPr="006051D5">
          <w:rPr>
            <w:rStyle w:val="Lienhypertexte"/>
          </w:rPr>
          <w:t>7.5 Mesures d'ordre social - Application de la réglementation du travail</w:t>
        </w:r>
        <w:r w:rsidR="00E842D4">
          <w:rPr>
            <w:webHidden/>
          </w:rPr>
          <w:tab/>
        </w:r>
        <w:r w:rsidR="00E842D4">
          <w:rPr>
            <w:webHidden/>
          </w:rPr>
          <w:fldChar w:fldCharType="begin"/>
        </w:r>
        <w:r w:rsidR="00E842D4">
          <w:rPr>
            <w:webHidden/>
          </w:rPr>
          <w:instrText xml:space="preserve"> PAGEREF _Toc148692609 \h </w:instrText>
        </w:r>
        <w:r w:rsidR="00E842D4">
          <w:rPr>
            <w:webHidden/>
          </w:rPr>
        </w:r>
        <w:r w:rsidR="00E842D4">
          <w:rPr>
            <w:webHidden/>
          </w:rPr>
          <w:fldChar w:fldCharType="separate"/>
        </w:r>
        <w:r w:rsidR="00E842D4">
          <w:rPr>
            <w:webHidden/>
          </w:rPr>
          <w:t>11</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10" w:history="1">
        <w:r w:rsidR="00E842D4" w:rsidRPr="006051D5">
          <w:rPr>
            <w:rStyle w:val="Lienhypertexte"/>
          </w:rPr>
          <w:t>7.6 Dispositions en matière environnementale</w:t>
        </w:r>
        <w:r w:rsidR="00E842D4">
          <w:rPr>
            <w:webHidden/>
          </w:rPr>
          <w:tab/>
        </w:r>
        <w:r w:rsidR="00E842D4">
          <w:rPr>
            <w:webHidden/>
          </w:rPr>
          <w:fldChar w:fldCharType="begin"/>
        </w:r>
        <w:r w:rsidR="00E842D4">
          <w:rPr>
            <w:webHidden/>
          </w:rPr>
          <w:instrText xml:space="preserve"> PAGEREF _Toc148692610 \h </w:instrText>
        </w:r>
        <w:r w:rsidR="00E842D4">
          <w:rPr>
            <w:webHidden/>
          </w:rPr>
        </w:r>
        <w:r w:rsidR="00E842D4">
          <w:rPr>
            <w:webHidden/>
          </w:rPr>
          <w:fldChar w:fldCharType="separate"/>
        </w:r>
        <w:r w:rsidR="00E842D4">
          <w:rPr>
            <w:webHidden/>
          </w:rPr>
          <w:t>11</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11" w:history="1">
        <w:r w:rsidR="00E842D4" w:rsidRPr="006051D5">
          <w:rPr>
            <w:rStyle w:val="Lienhypertexte"/>
          </w:rPr>
          <w:t>7.7 Respect des principes de la République</w:t>
        </w:r>
        <w:r w:rsidR="00E842D4">
          <w:rPr>
            <w:webHidden/>
          </w:rPr>
          <w:tab/>
        </w:r>
        <w:r w:rsidR="00E842D4">
          <w:rPr>
            <w:webHidden/>
          </w:rPr>
          <w:fldChar w:fldCharType="begin"/>
        </w:r>
        <w:r w:rsidR="00E842D4">
          <w:rPr>
            <w:webHidden/>
          </w:rPr>
          <w:instrText xml:space="preserve"> PAGEREF _Toc148692611 \h </w:instrText>
        </w:r>
        <w:r w:rsidR="00E842D4">
          <w:rPr>
            <w:webHidden/>
          </w:rPr>
        </w:r>
        <w:r w:rsidR="00E842D4">
          <w:rPr>
            <w:webHidden/>
          </w:rPr>
          <w:fldChar w:fldCharType="separate"/>
        </w:r>
        <w:r w:rsidR="00E842D4">
          <w:rPr>
            <w:webHidden/>
          </w:rPr>
          <w:t>11</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12" w:history="1">
        <w:r w:rsidR="00E842D4" w:rsidRPr="006051D5">
          <w:rPr>
            <w:rStyle w:val="Lienhypertexte"/>
          </w:rPr>
          <w:t>ARTICLE 8 : VERIFICATION ET VALIDATION DES PRESTATIONS</w:t>
        </w:r>
        <w:r w:rsidR="00E842D4">
          <w:rPr>
            <w:webHidden/>
          </w:rPr>
          <w:tab/>
        </w:r>
        <w:r w:rsidR="00E842D4">
          <w:rPr>
            <w:webHidden/>
          </w:rPr>
          <w:fldChar w:fldCharType="begin"/>
        </w:r>
        <w:r w:rsidR="00E842D4">
          <w:rPr>
            <w:webHidden/>
          </w:rPr>
          <w:instrText xml:space="preserve"> PAGEREF _Toc148692612 \h </w:instrText>
        </w:r>
        <w:r w:rsidR="00E842D4">
          <w:rPr>
            <w:webHidden/>
          </w:rPr>
        </w:r>
        <w:r w:rsidR="00E842D4">
          <w:rPr>
            <w:webHidden/>
          </w:rPr>
          <w:fldChar w:fldCharType="separate"/>
        </w:r>
        <w:r w:rsidR="00E842D4">
          <w:rPr>
            <w:webHidden/>
          </w:rPr>
          <w:t>11</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13" w:history="1">
        <w:r w:rsidR="00E842D4" w:rsidRPr="006051D5">
          <w:rPr>
            <w:rStyle w:val="Lienhypertexte"/>
          </w:rPr>
          <w:t>8.1 Modalités de vérification</w:t>
        </w:r>
        <w:r w:rsidR="00E842D4">
          <w:rPr>
            <w:webHidden/>
          </w:rPr>
          <w:tab/>
        </w:r>
        <w:r w:rsidR="00E842D4">
          <w:rPr>
            <w:webHidden/>
          </w:rPr>
          <w:fldChar w:fldCharType="begin"/>
        </w:r>
        <w:r w:rsidR="00E842D4">
          <w:rPr>
            <w:webHidden/>
          </w:rPr>
          <w:instrText xml:space="preserve"> PAGEREF _Toc148692613 \h </w:instrText>
        </w:r>
        <w:r w:rsidR="00E842D4">
          <w:rPr>
            <w:webHidden/>
          </w:rPr>
        </w:r>
        <w:r w:rsidR="00E842D4">
          <w:rPr>
            <w:webHidden/>
          </w:rPr>
          <w:fldChar w:fldCharType="separate"/>
        </w:r>
        <w:r w:rsidR="00E842D4">
          <w:rPr>
            <w:webHidden/>
          </w:rPr>
          <w:t>12</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14" w:history="1">
        <w:r w:rsidR="00E842D4" w:rsidRPr="006051D5">
          <w:rPr>
            <w:rStyle w:val="Lienhypertexte"/>
          </w:rPr>
          <w:t>8.2 Admission en l'état ou avec observations, ajournement, réfaction et rejet</w:t>
        </w:r>
        <w:r w:rsidR="00E842D4">
          <w:rPr>
            <w:webHidden/>
          </w:rPr>
          <w:tab/>
        </w:r>
        <w:r w:rsidR="00E842D4">
          <w:rPr>
            <w:webHidden/>
          </w:rPr>
          <w:fldChar w:fldCharType="begin"/>
        </w:r>
        <w:r w:rsidR="00E842D4">
          <w:rPr>
            <w:webHidden/>
          </w:rPr>
          <w:instrText xml:space="preserve"> PAGEREF _Toc148692614 \h </w:instrText>
        </w:r>
        <w:r w:rsidR="00E842D4">
          <w:rPr>
            <w:webHidden/>
          </w:rPr>
        </w:r>
        <w:r w:rsidR="00E842D4">
          <w:rPr>
            <w:webHidden/>
          </w:rPr>
          <w:fldChar w:fldCharType="separate"/>
        </w:r>
        <w:r w:rsidR="00E842D4">
          <w:rPr>
            <w:webHidden/>
          </w:rPr>
          <w:t>12</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15" w:history="1">
        <w:r w:rsidR="00E842D4" w:rsidRPr="006051D5">
          <w:rPr>
            <w:rStyle w:val="Lienhypertexte"/>
          </w:rPr>
          <w:t>ARTICLE 9 – PRIX – PASSATION DES MARCHES SUBSEQUENTS</w:t>
        </w:r>
        <w:r w:rsidR="00E842D4">
          <w:rPr>
            <w:webHidden/>
          </w:rPr>
          <w:tab/>
        </w:r>
        <w:r w:rsidR="00E842D4">
          <w:rPr>
            <w:webHidden/>
          </w:rPr>
          <w:fldChar w:fldCharType="begin"/>
        </w:r>
        <w:r w:rsidR="00E842D4">
          <w:rPr>
            <w:webHidden/>
          </w:rPr>
          <w:instrText xml:space="preserve"> PAGEREF _Toc148692615 \h </w:instrText>
        </w:r>
        <w:r w:rsidR="00E842D4">
          <w:rPr>
            <w:webHidden/>
          </w:rPr>
        </w:r>
        <w:r w:rsidR="00E842D4">
          <w:rPr>
            <w:webHidden/>
          </w:rPr>
          <w:fldChar w:fldCharType="separate"/>
        </w:r>
        <w:r w:rsidR="00E842D4">
          <w:rPr>
            <w:webHidden/>
          </w:rPr>
          <w:t>12</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16" w:history="1">
        <w:r w:rsidR="00E842D4" w:rsidRPr="006051D5">
          <w:rPr>
            <w:rStyle w:val="Lienhypertexte"/>
          </w:rPr>
          <w:t>9.1 Forme et contenu des prix</w:t>
        </w:r>
        <w:r w:rsidR="00E842D4">
          <w:rPr>
            <w:webHidden/>
          </w:rPr>
          <w:tab/>
        </w:r>
        <w:r w:rsidR="00E842D4">
          <w:rPr>
            <w:webHidden/>
          </w:rPr>
          <w:fldChar w:fldCharType="begin"/>
        </w:r>
        <w:r w:rsidR="00E842D4">
          <w:rPr>
            <w:webHidden/>
          </w:rPr>
          <w:instrText xml:space="preserve"> PAGEREF _Toc148692616 \h </w:instrText>
        </w:r>
        <w:r w:rsidR="00E842D4">
          <w:rPr>
            <w:webHidden/>
          </w:rPr>
        </w:r>
        <w:r w:rsidR="00E842D4">
          <w:rPr>
            <w:webHidden/>
          </w:rPr>
          <w:fldChar w:fldCharType="separate"/>
        </w:r>
        <w:r w:rsidR="00E842D4">
          <w:rPr>
            <w:webHidden/>
          </w:rPr>
          <w:t>12</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17" w:history="1">
        <w:r w:rsidR="00E842D4" w:rsidRPr="006051D5">
          <w:rPr>
            <w:rStyle w:val="Lienhypertexte"/>
          </w:rPr>
          <w:t>9.2 Nature des prix</w:t>
        </w:r>
        <w:r w:rsidR="00E842D4">
          <w:rPr>
            <w:webHidden/>
          </w:rPr>
          <w:tab/>
        </w:r>
        <w:r w:rsidR="00E842D4">
          <w:rPr>
            <w:webHidden/>
          </w:rPr>
          <w:fldChar w:fldCharType="begin"/>
        </w:r>
        <w:r w:rsidR="00E842D4">
          <w:rPr>
            <w:webHidden/>
          </w:rPr>
          <w:instrText xml:space="preserve"> PAGEREF _Toc148692617 \h </w:instrText>
        </w:r>
        <w:r w:rsidR="00E842D4">
          <w:rPr>
            <w:webHidden/>
          </w:rPr>
        </w:r>
        <w:r w:rsidR="00E842D4">
          <w:rPr>
            <w:webHidden/>
          </w:rPr>
          <w:fldChar w:fldCharType="separate"/>
        </w:r>
        <w:r w:rsidR="00E842D4">
          <w:rPr>
            <w:webHidden/>
          </w:rPr>
          <w:t>13</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18" w:history="1">
        <w:r w:rsidR="00E842D4" w:rsidRPr="006051D5">
          <w:rPr>
            <w:rStyle w:val="Lienhypertexte"/>
          </w:rPr>
          <w:t>ARTICLE 10 – MODALITES DE REMUNERATION ET REGLEMENT</w:t>
        </w:r>
        <w:r w:rsidR="00E842D4">
          <w:rPr>
            <w:webHidden/>
          </w:rPr>
          <w:tab/>
        </w:r>
        <w:r w:rsidR="00E842D4">
          <w:rPr>
            <w:webHidden/>
          </w:rPr>
          <w:fldChar w:fldCharType="begin"/>
        </w:r>
        <w:r w:rsidR="00E842D4">
          <w:rPr>
            <w:webHidden/>
          </w:rPr>
          <w:instrText xml:space="preserve"> PAGEREF _Toc148692618 \h </w:instrText>
        </w:r>
        <w:r w:rsidR="00E842D4">
          <w:rPr>
            <w:webHidden/>
          </w:rPr>
        </w:r>
        <w:r w:rsidR="00E842D4">
          <w:rPr>
            <w:webHidden/>
          </w:rPr>
          <w:fldChar w:fldCharType="separate"/>
        </w:r>
        <w:r w:rsidR="00E842D4">
          <w:rPr>
            <w:webHidden/>
          </w:rPr>
          <w:t>13</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19" w:history="1">
        <w:r w:rsidR="00E842D4" w:rsidRPr="006051D5">
          <w:rPr>
            <w:rStyle w:val="Lienhypertexte"/>
          </w:rPr>
          <w:t>10.1 Forfait de rémunération</w:t>
        </w:r>
        <w:r w:rsidR="00E842D4">
          <w:rPr>
            <w:webHidden/>
          </w:rPr>
          <w:tab/>
        </w:r>
        <w:r w:rsidR="00E842D4">
          <w:rPr>
            <w:webHidden/>
          </w:rPr>
          <w:fldChar w:fldCharType="begin"/>
        </w:r>
        <w:r w:rsidR="00E842D4">
          <w:rPr>
            <w:webHidden/>
          </w:rPr>
          <w:instrText xml:space="preserve"> PAGEREF _Toc148692619 \h </w:instrText>
        </w:r>
        <w:r w:rsidR="00E842D4">
          <w:rPr>
            <w:webHidden/>
          </w:rPr>
        </w:r>
        <w:r w:rsidR="00E842D4">
          <w:rPr>
            <w:webHidden/>
          </w:rPr>
          <w:fldChar w:fldCharType="separate"/>
        </w:r>
        <w:r w:rsidR="00E842D4">
          <w:rPr>
            <w:webHidden/>
          </w:rPr>
          <w:t>14</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0" w:history="1">
        <w:r w:rsidR="00E842D4" w:rsidRPr="006051D5">
          <w:rPr>
            <w:rStyle w:val="Lienhypertexte"/>
          </w:rPr>
          <w:t>10.2 Règlement des comptes du maître d’œuvre</w:t>
        </w:r>
        <w:r w:rsidR="00E842D4">
          <w:rPr>
            <w:webHidden/>
          </w:rPr>
          <w:tab/>
        </w:r>
        <w:r w:rsidR="00E842D4">
          <w:rPr>
            <w:webHidden/>
          </w:rPr>
          <w:fldChar w:fldCharType="begin"/>
        </w:r>
        <w:r w:rsidR="00E842D4">
          <w:rPr>
            <w:webHidden/>
          </w:rPr>
          <w:instrText xml:space="preserve"> PAGEREF _Toc148692620 \h </w:instrText>
        </w:r>
        <w:r w:rsidR="00E842D4">
          <w:rPr>
            <w:webHidden/>
          </w:rPr>
        </w:r>
        <w:r w:rsidR="00E842D4">
          <w:rPr>
            <w:webHidden/>
          </w:rPr>
          <w:fldChar w:fldCharType="separate"/>
        </w:r>
        <w:r w:rsidR="00E842D4">
          <w:rPr>
            <w:webHidden/>
          </w:rPr>
          <w:t>16</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1" w:history="1">
        <w:r w:rsidR="00E842D4" w:rsidRPr="006051D5">
          <w:rPr>
            <w:rStyle w:val="Lienhypertexte"/>
          </w:rPr>
          <w:t>10.3 Facturation</w:t>
        </w:r>
        <w:r w:rsidR="00E842D4">
          <w:rPr>
            <w:webHidden/>
          </w:rPr>
          <w:tab/>
        </w:r>
        <w:r w:rsidR="00E842D4">
          <w:rPr>
            <w:webHidden/>
          </w:rPr>
          <w:fldChar w:fldCharType="begin"/>
        </w:r>
        <w:r w:rsidR="00E842D4">
          <w:rPr>
            <w:webHidden/>
          </w:rPr>
          <w:instrText xml:space="preserve"> PAGEREF _Toc148692621 \h </w:instrText>
        </w:r>
        <w:r w:rsidR="00E842D4">
          <w:rPr>
            <w:webHidden/>
          </w:rPr>
        </w:r>
        <w:r w:rsidR="00E842D4">
          <w:rPr>
            <w:webHidden/>
          </w:rPr>
          <w:fldChar w:fldCharType="separate"/>
        </w:r>
        <w:r w:rsidR="00E842D4">
          <w:rPr>
            <w:webHidden/>
          </w:rPr>
          <w:t>18</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2" w:history="1">
        <w:r w:rsidR="00E842D4" w:rsidRPr="006051D5">
          <w:rPr>
            <w:rStyle w:val="Lienhypertexte"/>
          </w:rPr>
          <w:t>10.4 Délai global de paiement</w:t>
        </w:r>
        <w:r w:rsidR="00E842D4">
          <w:rPr>
            <w:webHidden/>
          </w:rPr>
          <w:tab/>
        </w:r>
        <w:r w:rsidR="00E842D4">
          <w:rPr>
            <w:webHidden/>
          </w:rPr>
          <w:fldChar w:fldCharType="begin"/>
        </w:r>
        <w:r w:rsidR="00E842D4">
          <w:rPr>
            <w:webHidden/>
          </w:rPr>
          <w:instrText xml:space="preserve"> PAGEREF _Toc148692622 \h </w:instrText>
        </w:r>
        <w:r w:rsidR="00E842D4">
          <w:rPr>
            <w:webHidden/>
          </w:rPr>
        </w:r>
        <w:r w:rsidR="00E842D4">
          <w:rPr>
            <w:webHidden/>
          </w:rPr>
          <w:fldChar w:fldCharType="separate"/>
        </w:r>
        <w:r w:rsidR="00E842D4">
          <w:rPr>
            <w:webHidden/>
          </w:rPr>
          <w:t>19</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3" w:history="1">
        <w:r w:rsidR="00E842D4" w:rsidRPr="006051D5">
          <w:rPr>
            <w:rStyle w:val="Lienhypertexte"/>
          </w:rPr>
          <w:t>10.5 Avance</w:t>
        </w:r>
        <w:r w:rsidR="00E842D4">
          <w:rPr>
            <w:webHidden/>
          </w:rPr>
          <w:tab/>
        </w:r>
        <w:r w:rsidR="00E842D4">
          <w:rPr>
            <w:webHidden/>
          </w:rPr>
          <w:fldChar w:fldCharType="begin"/>
        </w:r>
        <w:r w:rsidR="00E842D4">
          <w:rPr>
            <w:webHidden/>
          </w:rPr>
          <w:instrText xml:space="preserve"> PAGEREF _Toc148692623 \h </w:instrText>
        </w:r>
        <w:r w:rsidR="00E842D4">
          <w:rPr>
            <w:webHidden/>
          </w:rPr>
        </w:r>
        <w:r w:rsidR="00E842D4">
          <w:rPr>
            <w:webHidden/>
          </w:rPr>
          <w:fldChar w:fldCharType="separate"/>
        </w:r>
        <w:r w:rsidR="00E842D4">
          <w:rPr>
            <w:webHidden/>
          </w:rPr>
          <w:t>19</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4" w:history="1">
        <w:r w:rsidR="00E842D4" w:rsidRPr="006051D5">
          <w:rPr>
            <w:rStyle w:val="Lienhypertexte"/>
          </w:rPr>
          <w:t>10.5 L’avancement</w:t>
        </w:r>
        <w:r w:rsidR="00E842D4">
          <w:rPr>
            <w:webHidden/>
          </w:rPr>
          <w:tab/>
        </w:r>
        <w:r w:rsidR="00E842D4">
          <w:rPr>
            <w:webHidden/>
          </w:rPr>
          <w:fldChar w:fldCharType="begin"/>
        </w:r>
        <w:r w:rsidR="00E842D4">
          <w:rPr>
            <w:webHidden/>
          </w:rPr>
          <w:instrText xml:space="preserve"> PAGEREF _Toc148692624 \h </w:instrText>
        </w:r>
        <w:r w:rsidR="00E842D4">
          <w:rPr>
            <w:webHidden/>
          </w:rPr>
        </w:r>
        <w:r w:rsidR="00E842D4">
          <w:rPr>
            <w:webHidden/>
          </w:rPr>
          <w:fldChar w:fldCharType="separate"/>
        </w:r>
        <w:r w:rsidR="00E842D4">
          <w:rPr>
            <w:webHidden/>
          </w:rPr>
          <w:t>20</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5" w:history="1">
        <w:r w:rsidR="00E842D4" w:rsidRPr="006051D5">
          <w:rPr>
            <w:rStyle w:val="Lienhypertexte"/>
          </w:rPr>
          <w:t>10.6 Les acomptes</w:t>
        </w:r>
        <w:r w:rsidR="00E842D4">
          <w:rPr>
            <w:webHidden/>
          </w:rPr>
          <w:tab/>
        </w:r>
        <w:r w:rsidR="00E842D4">
          <w:rPr>
            <w:webHidden/>
          </w:rPr>
          <w:fldChar w:fldCharType="begin"/>
        </w:r>
        <w:r w:rsidR="00E842D4">
          <w:rPr>
            <w:webHidden/>
          </w:rPr>
          <w:instrText xml:space="preserve"> PAGEREF _Toc148692625 \h </w:instrText>
        </w:r>
        <w:r w:rsidR="00E842D4">
          <w:rPr>
            <w:webHidden/>
          </w:rPr>
        </w:r>
        <w:r w:rsidR="00E842D4">
          <w:rPr>
            <w:webHidden/>
          </w:rPr>
          <w:fldChar w:fldCharType="separate"/>
        </w:r>
        <w:r w:rsidR="00E842D4">
          <w:rPr>
            <w:webHidden/>
          </w:rPr>
          <w:t>20</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6" w:history="1">
        <w:r w:rsidR="00E842D4" w:rsidRPr="006051D5">
          <w:rPr>
            <w:rStyle w:val="Lienhypertexte"/>
          </w:rPr>
          <w:t>10.7 Décompte final – Solde</w:t>
        </w:r>
        <w:r w:rsidR="00E842D4">
          <w:rPr>
            <w:webHidden/>
          </w:rPr>
          <w:tab/>
        </w:r>
        <w:r w:rsidR="00E842D4">
          <w:rPr>
            <w:webHidden/>
          </w:rPr>
          <w:fldChar w:fldCharType="begin"/>
        </w:r>
        <w:r w:rsidR="00E842D4">
          <w:rPr>
            <w:webHidden/>
          </w:rPr>
          <w:instrText xml:space="preserve"> PAGEREF _Toc148692626 \h </w:instrText>
        </w:r>
        <w:r w:rsidR="00E842D4">
          <w:rPr>
            <w:webHidden/>
          </w:rPr>
        </w:r>
        <w:r w:rsidR="00E842D4">
          <w:rPr>
            <w:webHidden/>
          </w:rPr>
          <w:fldChar w:fldCharType="separate"/>
        </w:r>
        <w:r w:rsidR="00E842D4">
          <w:rPr>
            <w:webHidden/>
          </w:rPr>
          <w:t>20</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27" w:history="1">
        <w:r w:rsidR="00E842D4" w:rsidRPr="006051D5">
          <w:rPr>
            <w:rStyle w:val="Lienhypertexte"/>
          </w:rPr>
          <w:t>ARTICLE 11 – PENALITES</w:t>
        </w:r>
        <w:r w:rsidR="00E842D4">
          <w:rPr>
            <w:webHidden/>
          </w:rPr>
          <w:tab/>
        </w:r>
        <w:r w:rsidR="00E842D4">
          <w:rPr>
            <w:webHidden/>
          </w:rPr>
          <w:fldChar w:fldCharType="begin"/>
        </w:r>
        <w:r w:rsidR="00E842D4">
          <w:rPr>
            <w:webHidden/>
          </w:rPr>
          <w:instrText xml:space="preserve"> PAGEREF _Toc148692627 \h </w:instrText>
        </w:r>
        <w:r w:rsidR="00E842D4">
          <w:rPr>
            <w:webHidden/>
          </w:rPr>
        </w:r>
        <w:r w:rsidR="00E842D4">
          <w:rPr>
            <w:webHidden/>
          </w:rPr>
          <w:fldChar w:fldCharType="separate"/>
        </w:r>
        <w:r w:rsidR="00E842D4">
          <w:rPr>
            <w:webHidden/>
          </w:rPr>
          <w:t>21</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8" w:history="1">
        <w:r w:rsidR="00E842D4" w:rsidRPr="006051D5">
          <w:rPr>
            <w:rStyle w:val="Lienhypertexte"/>
          </w:rPr>
          <w:t>11.1 Pénalités de retard</w:t>
        </w:r>
        <w:r w:rsidR="00E842D4">
          <w:rPr>
            <w:webHidden/>
          </w:rPr>
          <w:tab/>
        </w:r>
        <w:r w:rsidR="00E842D4">
          <w:rPr>
            <w:webHidden/>
          </w:rPr>
          <w:fldChar w:fldCharType="begin"/>
        </w:r>
        <w:r w:rsidR="00E842D4">
          <w:rPr>
            <w:webHidden/>
          </w:rPr>
          <w:instrText xml:space="preserve"> PAGEREF _Toc148692628 \h </w:instrText>
        </w:r>
        <w:r w:rsidR="00E842D4">
          <w:rPr>
            <w:webHidden/>
          </w:rPr>
        </w:r>
        <w:r w:rsidR="00E842D4">
          <w:rPr>
            <w:webHidden/>
          </w:rPr>
          <w:fldChar w:fldCharType="separate"/>
        </w:r>
        <w:r w:rsidR="00E842D4">
          <w:rPr>
            <w:webHidden/>
          </w:rPr>
          <w:t>21</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29" w:history="1">
        <w:r w:rsidR="00E842D4" w:rsidRPr="006051D5">
          <w:rPr>
            <w:rStyle w:val="Lienhypertexte"/>
          </w:rPr>
          <w:t>11.2 Pénalités en cas d’absence aux réunions</w:t>
        </w:r>
        <w:r w:rsidR="00E842D4">
          <w:rPr>
            <w:webHidden/>
          </w:rPr>
          <w:tab/>
        </w:r>
        <w:r w:rsidR="00E842D4">
          <w:rPr>
            <w:webHidden/>
          </w:rPr>
          <w:fldChar w:fldCharType="begin"/>
        </w:r>
        <w:r w:rsidR="00E842D4">
          <w:rPr>
            <w:webHidden/>
          </w:rPr>
          <w:instrText xml:space="preserve"> PAGEREF _Toc148692629 \h </w:instrText>
        </w:r>
        <w:r w:rsidR="00E842D4">
          <w:rPr>
            <w:webHidden/>
          </w:rPr>
        </w:r>
        <w:r w:rsidR="00E842D4">
          <w:rPr>
            <w:webHidden/>
          </w:rPr>
          <w:fldChar w:fldCharType="separate"/>
        </w:r>
        <w:r w:rsidR="00E842D4">
          <w:rPr>
            <w:webHidden/>
          </w:rPr>
          <w:t>22</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30" w:history="1">
        <w:r w:rsidR="00E842D4" w:rsidRPr="006051D5">
          <w:rPr>
            <w:rStyle w:val="Lienhypertexte"/>
          </w:rPr>
          <w:t>11.3 Autres pénalités</w:t>
        </w:r>
        <w:r w:rsidR="00E842D4">
          <w:rPr>
            <w:webHidden/>
          </w:rPr>
          <w:tab/>
        </w:r>
        <w:r w:rsidR="00E842D4">
          <w:rPr>
            <w:webHidden/>
          </w:rPr>
          <w:fldChar w:fldCharType="begin"/>
        </w:r>
        <w:r w:rsidR="00E842D4">
          <w:rPr>
            <w:webHidden/>
          </w:rPr>
          <w:instrText xml:space="preserve"> PAGEREF _Toc148692630 \h </w:instrText>
        </w:r>
        <w:r w:rsidR="00E842D4">
          <w:rPr>
            <w:webHidden/>
          </w:rPr>
        </w:r>
        <w:r w:rsidR="00E842D4">
          <w:rPr>
            <w:webHidden/>
          </w:rPr>
          <w:fldChar w:fldCharType="separate"/>
        </w:r>
        <w:r w:rsidR="00E842D4">
          <w:rPr>
            <w:webHidden/>
          </w:rPr>
          <w:t>22</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31" w:history="1">
        <w:r w:rsidR="00E842D4" w:rsidRPr="006051D5">
          <w:rPr>
            <w:rStyle w:val="Lienhypertexte"/>
          </w:rPr>
          <w:t>11.4 Modalités d’application des pénalités</w:t>
        </w:r>
        <w:r w:rsidR="00E842D4">
          <w:rPr>
            <w:webHidden/>
          </w:rPr>
          <w:tab/>
        </w:r>
        <w:r w:rsidR="00E842D4">
          <w:rPr>
            <w:webHidden/>
          </w:rPr>
          <w:fldChar w:fldCharType="begin"/>
        </w:r>
        <w:r w:rsidR="00E842D4">
          <w:rPr>
            <w:webHidden/>
          </w:rPr>
          <w:instrText xml:space="preserve"> PAGEREF _Toc148692631 \h </w:instrText>
        </w:r>
        <w:r w:rsidR="00E842D4">
          <w:rPr>
            <w:webHidden/>
          </w:rPr>
        </w:r>
        <w:r w:rsidR="00E842D4">
          <w:rPr>
            <w:webHidden/>
          </w:rPr>
          <w:fldChar w:fldCharType="separate"/>
        </w:r>
        <w:r w:rsidR="00E842D4">
          <w:rPr>
            <w:webHidden/>
          </w:rPr>
          <w:t>23</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32" w:history="1">
        <w:r w:rsidR="00E842D4" w:rsidRPr="006051D5">
          <w:rPr>
            <w:rStyle w:val="Lienhypertexte"/>
          </w:rPr>
          <w:t>ARTICLE  12 – DOCUMENTS A PRODUIRE EN COURS D’EXECUTION</w:t>
        </w:r>
        <w:r w:rsidR="00E842D4">
          <w:rPr>
            <w:webHidden/>
          </w:rPr>
          <w:tab/>
        </w:r>
        <w:r w:rsidR="00E842D4">
          <w:rPr>
            <w:webHidden/>
          </w:rPr>
          <w:fldChar w:fldCharType="begin"/>
        </w:r>
        <w:r w:rsidR="00E842D4">
          <w:rPr>
            <w:webHidden/>
          </w:rPr>
          <w:instrText xml:space="preserve"> PAGEREF _Toc148692632 \h </w:instrText>
        </w:r>
        <w:r w:rsidR="00E842D4">
          <w:rPr>
            <w:webHidden/>
          </w:rPr>
        </w:r>
        <w:r w:rsidR="00E842D4">
          <w:rPr>
            <w:webHidden/>
          </w:rPr>
          <w:fldChar w:fldCharType="separate"/>
        </w:r>
        <w:r w:rsidR="00E842D4">
          <w:rPr>
            <w:webHidden/>
          </w:rPr>
          <w:t>23</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33" w:history="1">
        <w:r w:rsidR="00E842D4" w:rsidRPr="006051D5">
          <w:rPr>
            <w:rStyle w:val="Lienhypertexte"/>
          </w:rPr>
          <w:t>12.1 Assurance</w:t>
        </w:r>
        <w:r w:rsidR="00E842D4">
          <w:rPr>
            <w:webHidden/>
          </w:rPr>
          <w:tab/>
        </w:r>
        <w:r w:rsidR="00E842D4">
          <w:rPr>
            <w:webHidden/>
          </w:rPr>
          <w:fldChar w:fldCharType="begin"/>
        </w:r>
        <w:r w:rsidR="00E842D4">
          <w:rPr>
            <w:webHidden/>
          </w:rPr>
          <w:instrText xml:space="preserve"> PAGEREF _Toc148692633 \h </w:instrText>
        </w:r>
        <w:r w:rsidR="00E842D4">
          <w:rPr>
            <w:webHidden/>
          </w:rPr>
        </w:r>
        <w:r w:rsidR="00E842D4">
          <w:rPr>
            <w:webHidden/>
          </w:rPr>
          <w:fldChar w:fldCharType="separate"/>
        </w:r>
        <w:r w:rsidR="00E842D4">
          <w:rPr>
            <w:webHidden/>
          </w:rPr>
          <w:t>23</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34" w:history="1">
        <w:r w:rsidR="00E842D4" w:rsidRPr="006051D5">
          <w:rPr>
            <w:rStyle w:val="Lienhypertexte"/>
          </w:rPr>
          <w:t>12.2 Justificatifs sociaux</w:t>
        </w:r>
        <w:r w:rsidR="00E842D4">
          <w:rPr>
            <w:webHidden/>
          </w:rPr>
          <w:tab/>
        </w:r>
        <w:r w:rsidR="00E842D4">
          <w:rPr>
            <w:webHidden/>
          </w:rPr>
          <w:fldChar w:fldCharType="begin"/>
        </w:r>
        <w:r w:rsidR="00E842D4">
          <w:rPr>
            <w:webHidden/>
          </w:rPr>
          <w:instrText xml:space="preserve"> PAGEREF _Toc148692634 \h </w:instrText>
        </w:r>
        <w:r w:rsidR="00E842D4">
          <w:rPr>
            <w:webHidden/>
          </w:rPr>
        </w:r>
        <w:r w:rsidR="00E842D4">
          <w:rPr>
            <w:webHidden/>
          </w:rPr>
          <w:fldChar w:fldCharType="separate"/>
        </w:r>
        <w:r w:rsidR="00E842D4">
          <w:rPr>
            <w:webHidden/>
          </w:rPr>
          <w:t>23</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35" w:history="1">
        <w:r w:rsidR="00E842D4" w:rsidRPr="006051D5">
          <w:rPr>
            <w:rStyle w:val="Lienhypertexte"/>
          </w:rPr>
          <w:t>12.3 Modifications relatives à la situation juridique ou économique au titulaire du marché</w:t>
        </w:r>
        <w:r w:rsidR="00E842D4">
          <w:rPr>
            <w:webHidden/>
          </w:rPr>
          <w:tab/>
        </w:r>
        <w:r w:rsidR="00E842D4">
          <w:rPr>
            <w:webHidden/>
          </w:rPr>
          <w:fldChar w:fldCharType="begin"/>
        </w:r>
        <w:r w:rsidR="00E842D4">
          <w:rPr>
            <w:webHidden/>
          </w:rPr>
          <w:instrText xml:space="preserve"> PAGEREF _Toc148692635 \h </w:instrText>
        </w:r>
        <w:r w:rsidR="00E842D4">
          <w:rPr>
            <w:webHidden/>
          </w:rPr>
        </w:r>
        <w:r w:rsidR="00E842D4">
          <w:rPr>
            <w:webHidden/>
          </w:rPr>
          <w:fldChar w:fldCharType="separate"/>
        </w:r>
        <w:r w:rsidR="00E842D4">
          <w:rPr>
            <w:webHidden/>
          </w:rPr>
          <w:t>23</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36" w:history="1">
        <w:r w:rsidR="00E842D4" w:rsidRPr="006051D5">
          <w:rPr>
            <w:rStyle w:val="Lienhypertexte"/>
          </w:rPr>
          <w:t>ARTICLE 13 : CO-TRAITANCE ET SOUS TRAITANCE</w:t>
        </w:r>
        <w:r w:rsidR="00E842D4">
          <w:rPr>
            <w:webHidden/>
          </w:rPr>
          <w:tab/>
        </w:r>
        <w:r w:rsidR="00E842D4">
          <w:rPr>
            <w:webHidden/>
          </w:rPr>
          <w:fldChar w:fldCharType="begin"/>
        </w:r>
        <w:r w:rsidR="00E842D4">
          <w:rPr>
            <w:webHidden/>
          </w:rPr>
          <w:instrText xml:space="preserve"> PAGEREF _Toc148692636 \h </w:instrText>
        </w:r>
        <w:r w:rsidR="00E842D4">
          <w:rPr>
            <w:webHidden/>
          </w:rPr>
        </w:r>
        <w:r w:rsidR="00E842D4">
          <w:rPr>
            <w:webHidden/>
          </w:rPr>
          <w:fldChar w:fldCharType="separate"/>
        </w:r>
        <w:r w:rsidR="00E842D4">
          <w:rPr>
            <w:webHidden/>
          </w:rPr>
          <w:t>24</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37" w:history="1">
        <w:r w:rsidR="00E842D4" w:rsidRPr="006051D5">
          <w:rPr>
            <w:rStyle w:val="Lienhypertexte"/>
          </w:rPr>
          <w:t>13.1 Sous-traitance</w:t>
        </w:r>
        <w:r w:rsidR="00E842D4">
          <w:rPr>
            <w:webHidden/>
          </w:rPr>
          <w:tab/>
        </w:r>
        <w:r w:rsidR="00E842D4">
          <w:rPr>
            <w:webHidden/>
          </w:rPr>
          <w:fldChar w:fldCharType="begin"/>
        </w:r>
        <w:r w:rsidR="00E842D4">
          <w:rPr>
            <w:webHidden/>
          </w:rPr>
          <w:instrText xml:space="preserve"> PAGEREF _Toc148692637 \h </w:instrText>
        </w:r>
        <w:r w:rsidR="00E842D4">
          <w:rPr>
            <w:webHidden/>
          </w:rPr>
        </w:r>
        <w:r w:rsidR="00E842D4">
          <w:rPr>
            <w:webHidden/>
          </w:rPr>
          <w:fldChar w:fldCharType="separate"/>
        </w:r>
        <w:r w:rsidR="00E842D4">
          <w:rPr>
            <w:webHidden/>
          </w:rPr>
          <w:t>24</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38" w:history="1">
        <w:r w:rsidR="00E842D4" w:rsidRPr="006051D5">
          <w:rPr>
            <w:rStyle w:val="Lienhypertexte"/>
          </w:rPr>
          <w:t>13.2 Cotraitance</w:t>
        </w:r>
        <w:r w:rsidR="00E842D4">
          <w:rPr>
            <w:webHidden/>
          </w:rPr>
          <w:tab/>
        </w:r>
        <w:r w:rsidR="00E842D4">
          <w:rPr>
            <w:webHidden/>
          </w:rPr>
          <w:fldChar w:fldCharType="begin"/>
        </w:r>
        <w:r w:rsidR="00E842D4">
          <w:rPr>
            <w:webHidden/>
          </w:rPr>
          <w:instrText xml:space="preserve"> PAGEREF _Toc148692638 \h </w:instrText>
        </w:r>
        <w:r w:rsidR="00E842D4">
          <w:rPr>
            <w:webHidden/>
          </w:rPr>
        </w:r>
        <w:r w:rsidR="00E842D4">
          <w:rPr>
            <w:webHidden/>
          </w:rPr>
          <w:fldChar w:fldCharType="separate"/>
        </w:r>
        <w:r w:rsidR="00E842D4">
          <w:rPr>
            <w:webHidden/>
          </w:rPr>
          <w:t>25</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39" w:history="1">
        <w:r w:rsidR="00E842D4" w:rsidRPr="006051D5">
          <w:rPr>
            <w:rStyle w:val="Lienhypertexte"/>
          </w:rPr>
          <w:t>ARTICLE 14 : RESILIATION ET AUTRES MESURES COERCITIVES</w:t>
        </w:r>
        <w:r w:rsidR="00E842D4">
          <w:rPr>
            <w:webHidden/>
          </w:rPr>
          <w:tab/>
        </w:r>
        <w:r w:rsidR="00E842D4">
          <w:rPr>
            <w:webHidden/>
          </w:rPr>
          <w:fldChar w:fldCharType="begin"/>
        </w:r>
        <w:r w:rsidR="00E842D4">
          <w:rPr>
            <w:webHidden/>
          </w:rPr>
          <w:instrText xml:space="preserve"> PAGEREF _Toc148692639 \h </w:instrText>
        </w:r>
        <w:r w:rsidR="00E842D4">
          <w:rPr>
            <w:webHidden/>
          </w:rPr>
        </w:r>
        <w:r w:rsidR="00E842D4">
          <w:rPr>
            <w:webHidden/>
          </w:rPr>
          <w:fldChar w:fldCharType="separate"/>
        </w:r>
        <w:r w:rsidR="00E842D4">
          <w:rPr>
            <w:webHidden/>
          </w:rPr>
          <w:t>25</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40" w:history="1">
        <w:r w:rsidR="00E842D4" w:rsidRPr="006051D5">
          <w:rPr>
            <w:rStyle w:val="Lienhypertexte"/>
          </w:rPr>
          <w:t>14.1 Résiliation</w:t>
        </w:r>
        <w:r w:rsidR="00E842D4">
          <w:rPr>
            <w:webHidden/>
          </w:rPr>
          <w:tab/>
        </w:r>
        <w:r w:rsidR="00E842D4">
          <w:rPr>
            <w:webHidden/>
          </w:rPr>
          <w:fldChar w:fldCharType="begin"/>
        </w:r>
        <w:r w:rsidR="00E842D4">
          <w:rPr>
            <w:webHidden/>
          </w:rPr>
          <w:instrText xml:space="preserve"> PAGEREF _Toc148692640 \h </w:instrText>
        </w:r>
        <w:r w:rsidR="00E842D4">
          <w:rPr>
            <w:webHidden/>
          </w:rPr>
        </w:r>
        <w:r w:rsidR="00E842D4">
          <w:rPr>
            <w:webHidden/>
          </w:rPr>
          <w:fldChar w:fldCharType="separate"/>
        </w:r>
        <w:r w:rsidR="00E842D4">
          <w:rPr>
            <w:webHidden/>
          </w:rPr>
          <w:t>25</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41" w:history="1">
        <w:r w:rsidR="00E842D4" w:rsidRPr="006051D5">
          <w:rPr>
            <w:rStyle w:val="Lienhypertexte"/>
          </w:rPr>
          <w:t>14.2 Exécution des prestations aux frais et risques du maître d’œuvre</w:t>
        </w:r>
        <w:r w:rsidR="00E842D4">
          <w:rPr>
            <w:webHidden/>
          </w:rPr>
          <w:tab/>
        </w:r>
        <w:r w:rsidR="00E842D4">
          <w:rPr>
            <w:webHidden/>
          </w:rPr>
          <w:fldChar w:fldCharType="begin"/>
        </w:r>
        <w:r w:rsidR="00E842D4">
          <w:rPr>
            <w:webHidden/>
          </w:rPr>
          <w:instrText xml:space="preserve"> PAGEREF _Toc148692641 \h </w:instrText>
        </w:r>
        <w:r w:rsidR="00E842D4">
          <w:rPr>
            <w:webHidden/>
          </w:rPr>
        </w:r>
        <w:r w:rsidR="00E842D4">
          <w:rPr>
            <w:webHidden/>
          </w:rPr>
          <w:fldChar w:fldCharType="separate"/>
        </w:r>
        <w:r w:rsidR="00E842D4">
          <w:rPr>
            <w:webHidden/>
          </w:rPr>
          <w:t>26</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42" w:history="1">
        <w:r w:rsidR="00E842D4" w:rsidRPr="006051D5">
          <w:rPr>
            <w:rStyle w:val="Lienhypertexte"/>
          </w:rPr>
          <w:t>ARTICLE 15 : DIFFERENDS ET LITIGES</w:t>
        </w:r>
        <w:r w:rsidR="00E842D4">
          <w:rPr>
            <w:webHidden/>
          </w:rPr>
          <w:tab/>
        </w:r>
        <w:r w:rsidR="00E842D4">
          <w:rPr>
            <w:webHidden/>
          </w:rPr>
          <w:fldChar w:fldCharType="begin"/>
        </w:r>
        <w:r w:rsidR="00E842D4">
          <w:rPr>
            <w:webHidden/>
          </w:rPr>
          <w:instrText xml:space="preserve"> PAGEREF _Toc148692642 \h </w:instrText>
        </w:r>
        <w:r w:rsidR="00E842D4">
          <w:rPr>
            <w:webHidden/>
          </w:rPr>
        </w:r>
        <w:r w:rsidR="00E842D4">
          <w:rPr>
            <w:webHidden/>
          </w:rPr>
          <w:fldChar w:fldCharType="separate"/>
        </w:r>
        <w:r w:rsidR="00E842D4">
          <w:rPr>
            <w:webHidden/>
          </w:rPr>
          <w:t>26</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43" w:history="1">
        <w:r w:rsidR="00E842D4" w:rsidRPr="006051D5">
          <w:rPr>
            <w:rStyle w:val="Lienhypertexte"/>
          </w:rPr>
          <w:t>15.1 Différends</w:t>
        </w:r>
        <w:r w:rsidR="00E842D4">
          <w:rPr>
            <w:webHidden/>
          </w:rPr>
          <w:tab/>
        </w:r>
        <w:r w:rsidR="00E842D4">
          <w:rPr>
            <w:webHidden/>
          </w:rPr>
          <w:fldChar w:fldCharType="begin"/>
        </w:r>
        <w:r w:rsidR="00E842D4">
          <w:rPr>
            <w:webHidden/>
          </w:rPr>
          <w:instrText xml:space="preserve"> PAGEREF _Toc148692643 \h </w:instrText>
        </w:r>
        <w:r w:rsidR="00E842D4">
          <w:rPr>
            <w:webHidden/>
          </w:rPr>
        </w:r>
        <w:r w:rsidR="00E842D4">
          <w:rPr>
            <w:webHidden/>
          </w:rPr>
          <w:fldChar w:fldCharType="separate"/>
        </w:r>
        <w:r w:rsidR="00E842D4">
          <w:rPr>
            <w:webHidden/>
          </w:rPr>
          <w:t>26</w:t>
        </w:r>
        <w:r w:rsidR="00E842D4">
          <w:rPr>
            <w:webHidden/>
          </w:rPr>
          <w:fldChar w:fldCharType="end"/>
        </w:r>
      </w:hyperlink>
    </w:p>
    <w:p w:rsidR="00E842D4" w:rsidRDefault="00DD1C9C">
      <w:pPr>
        <w:pStyle w:val="TM2"/>
        <w:rPr>
          <w:rFonts w:asciiTheme="minorHAnsi" w:eastAsiaTheme="minorEastAsia" w:hAnsiTheme="minorHAnsi" w:cstheme="minorBidi"/>
          <w:szCs w:val="22"/>
        </w:rPr>
      </w:pPr>
      <w:hyperlink w:anchor="_Toc148692644" w:history="1">
        <w:r w:rsidR="00E842D4" w:rsidRPr="006051D5">
          <w:rPr>
            <w:rStyle w:val="Lienhypertexte"/>
          </w:rPr>
          <w:t>15.2 Litiges</w:t>
        </w:r>
        <w:r w:rsidR="00E842D4">
          <w:rPr>
            <w:webHidden/>
          </w:rPr>
          <w:tab/>
        </w:r>
        <w:r w:rsidR="00E842D4">
          <w:rPr>
            <w:webHidden/>
          </w:rPr>
          <w:fldChar w:fldCharType="begin"/>
        </w:r>
        <w:r w:rsidR="00E842D4">
          <w:rPr>
            <w:webHidden/>
          </w:rPr>
          <w:instrText xml:space="preserve"> PAGEREF _Toc148692644 \h </w:instrText>
        </w:r>
        <w:r w:rsidR="00E842D4">
          <w:rPr>
            <w:webHidden/>
          </w:rPr>
        </w:r>
        <w:r w:rsidR="00E842D4">
          <w:rPr>
            <w:webHidden/>
          </w:rPr>
          <w:fldChar w:fldCharType="separate"/>
        </w:r>
        <w:r w:rsidR="00E842D4">
          <w:rPr>
            <w:webHidden/>
          </w:rPr>
          <w:t>26</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45" w:history="1">
        <w:r w:rsidR="00E842D4" w:rsidRPr="006051D5">
          <w:rPr>
            <w:rStyle w:val="Lienhypertexte"/>
          </w:rPr>
          <w:t>ARTICLE 16 : DEROGATION ET COMPLEMENTS</w:t>
        </w:r>
        <w:r w:rsidR="00E842D4">
          <w:rPr>
            <w:webHidden/>
          </w:rPr>
          <w:tab/>
        </w:r>
        <w:r w:rsidR="00E842D4">
          <w:rPr>
            <w:webHidden/>
          </w:rPr>
          <w:fldChar w:fldCharType="begin"/>
        </w:r>
        <w:r w:rsidR="00E842D4">
          <w:rPr>
            <w:webHidden/>
          </w:rPr>
          <w:instrText xml:space="preserve"> PAGEREF _Toc148692645 \h </w:instrText>
        </w:r>
        <w:r w:rsidR="00E842D4">
          <w:rPr>
            <w:webHidden/>
          </w:rPr>
        </w:r>
        <w:r w:rsidR="00E842D4">
          <w:rPr>
            <w:webHidden/>
          </w:rPr>
          <w:fldChar w:fldCharType="separate"/>
        </w:r>
        <w:r w:rsidR="00E842D4">
          <w:rPr>
            <w:webHidden/>
          </w:rPr>
          <w:t>26</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46" w:history="1">
        <w:r w:rsidR="00E842D4" w:rsidRPr="006051D5">
          <w:rPr>
            <w:rStyle w:val="Lienhypertexte"/>
          </w:rPr>
          <w:t>ARTICLE 17 - DELAI DE RECEPTION DES OFFRES</w:t>
        </w:r>
        <w:r w:rsidR="00E842D4">
          <w:rPr>
            <w:webHidden/>
          </w:rPr>
          <w:tab/>
        </w:r>
        <w:r w:rsidR="00E842D4">
          <w:rPr>
            <w:webHidden/>
          </w:rPr>
          <w:fldChar w:fldCharType="begin"/>
        </w:r>
        <w:r w:rsidR="00E842D4">
          <w:rPr>
            <w:webHidden/>
          </w:rPr>
          <w:instrText xml:space="preserve"> PAGEREF _Toc148692646 \h </w:instrText>
        </w:r>
        <w:r w:rsidR="00E842D4">
          <w:rPr>
            <w:webHidden/>
          </w:rPr>
        </w:r>
        <w:r w:rsidR="00E842D4">
          <w:rPr>
            <w:webHidden/>
          </w:rPr>
          <w:fldChar w:fldCharType="separate"/>
        </w:r>
        <w:r w:rsidR="00E842D4">
          <w:rPr>
            <w:webHidden/>
          </w:rPr>
          <w:t>27</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47" w:history="1">
        <w:r w:rsidR="00E842D4" w:rsidRPr="006051D5">
          <w:rPr>
            <w:rStyle w:val="Lienhypertexte"/>
          </w:rPr>
          <w:t>ARTICLE 18 - DOSSIER DE CONSULTATION DES MARCHES SUBSEQUENTS</w:t>
        </w:r>
        <w:r w:rsidR="00E842D4">
          <w:rPr>
            <w:webHidden/>
          </w:rPr>
          <w:tab/>
        </w:r>
        <w:r w:rsidR="00E842D4">
          <w:rPr>
            <w:webHidden/>
          </w:rPr>
          <w:fldChar w:fldCharType="begin"/>
        </w:r>
        <w:r w:rsidR="00E842D4">
          <w:rPr>
            <w:webHidden/>
          </w:rPr>
          <w:instrText xml:space="preserve"> PAGEREF _Toc148692647 \h </w:instrText>
        </w:r>
        <w:r w:rsidR="00E842D4">
          <w:rPr>
            <w:webHidden/>
          </w:rPr>
        </w:r>
        <w:r w:rsidR="00E842D4">
          <w:rPr>
            <w:webHidden/>
          </w:rPr>
          <w:fldChar w:fldCharType="separate"/>
        </w:r>
        <w:r w:rsidR="00E842D4">
          <w:rPr>
            <w:webHidden/>
          </w:rPr>
          <w:t>27</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48" w:history="1">
        <w:r w:rsidR="00E842D4" w:rsidRPr="006051D5">
          <w:rPr>
            <w:rStyle w:val="Lienhypertexte"/>
          </w:rPr>
          <w:t>ARTICLE 19 - MODALITES DE PRESENTATION DES OFFRES</w:t>
        </w:r>
        <w:r w:rsidR="00E842D4">
          <w:rPr>
            <w:webHidden/>
          </w:rPr>
          <w:tab/>
        </w:r>
        <w:r w:rsidR="00E842D4">
          <w:rPr>
            <w:webHidden/>
          </w:rPr>
          <w:fldChar w:fldCharType="begin"/>
        </w:r>
        <w:r w:rsidR="00E842D4">
          <w:rPr>
            <w:webHidden/>
          </w:rPr>
          <w:instrText xml:space="preserve"> PAGEREF _Toc148692648 \h </w:instrText>
        </w:r>
        <w:r w:rsidR="00E842D4">
          <w:rPr>
            <w:webHidden/>
          </w:rPr>
        </w:r>
        <w:r w:rsidR="00E842D4">
          <w:rPr>
            <w:webHidden/>
          </w:rPr>
          <w:fldChar w:fldCharType="separate"/>
        </w:r>
        <w:r w:rsidR="00E842D4">
          <w:rPr>
            <w:webHidden/>
          </w:rPr>
          <w:t>27</w:t>
        </w:r>
        <w:r w:rsidR="00E842D4">
          <w:rPr>
            <w:webHidden/>
          </w:rPr>
          <w:fldChar w:fldCharType="end"/>
        </w:r>
      </w:hyperlink>
    </w:p>
    <w:p w:rsidR="00E842D4" w:rsidRDefault="00DD1C9C">
      <w:pPr>
        <w:pStyle w:val="TM1"/>
        <w:rPr>
          <w:rFonts w:asciiTheme="minorHAnsi" w:eastAsiaTheme="minorEastAsia" w:hAnsiTheme="minorHAnsi" w:cstheme="minorBidi"/>
          <w:b w:val="0"/>
          <w:sz w:val="22"/>
          <w:szCs w:val="22"/>
        </w:rPr>
      </w:pPr>
      <w:hyperlink w:anchor="_Toc148692649" w:history="1">
        <w:r w:rsidR="00E842D4" w:rsidRPr="006051D5">
          <w:rPr>
            <w:rStyle w:val="Lienhypertexte"/>
          </w:rPr>
          <w:t>ARTICLE 20 - DELAI DE VALIDITE DES OFFRES DU MARCHE SUBSEQUENT</w:t>
        </w:r>
        <w:r w:rsidR="00E842D4">
          <w:rPr>
            <w:webHidden/>
          </w:rPr>
          <w:tab/>
        </w:r>
        <w:r w:rsidR="00E842D4">
          <w:rPr>
            <w:webHidden/>
          </w:rPr>
          <w:fldChar w:fldCharType="begin"/>
        </w:r>
        <w:r w:rsidR="00E842D4">
          <w:rPr>
            <w:webHidden/>
          </w:rPr>
          <w:instrText xml:space="preserve"> PAGEREF _Toc148692649 \h </w:instrText>
        </w:r>
        <w:r w:rsidR="00E842D4">
          <w:rPr>
            <w:webHidden/>
          </w:rPr>
        </w:r>
        <w:r w:rsidR="00E842D4">
          <w:rPr>
            <w:webHidden/>
          </w:rPr>
          <w:fldChar w:fldCharType="separate"/>
        </w:r>
        <w:r w:rsidR="00E842D4">
          <w:rPr>
            <w:webHidden/>
          </w:rPr>
          <w:t>27</w:t>
        </w:r>
        <w:r w:rsidR="00E842D4">
          <w:rPr>
            <w:webHidden/>
          </w:rPr>
          <w:fldChar w:fldCharType="end"/>
        </w:r>
      </w:hyperlink>
    </w:p>
    <w:p w:rsidR="00253797" w:rsidRPr="00253797" w:rsidRDefault="00253797" w:rsidP="00253797">
      <w:r>
        <w:fldChar w:fldCharType="end"/>
      </w:r>
    </w:p>
    <w:p w:rsidR="00A82DC3" w:rsidRDefault="00A82DC3" w:rsidP="00A82DC3">
      <w:pPr>
        <w:pStyle w:val="TITRE100"/>
      </w:pPr>
      <w:bookmarkStart w:id="5" w:name="_Toc465261420"/>
    </w:p>
    <w:p w:rsidR="006A2421" w:rsidRDefault="006A2421" w:rsidP="0038358D">
      <w:pPr>
        <w:pStyle w:val="TM1"/>
        <w:rPr>
          <w:rStyle w:val="Lienhypertexte"/>
          <w:b w:val="0"/>
          <w:color w:val="FF0000"/>
        </w:rPr>
      </w:pPr>
    </w:p>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A82DC3" w:rsidRDefault="00A82DC3" w:rsidP="00A82DC3"/>
    <w:p w:rsidR="008D550C" w:rsidRPr="00A82DC3" w:rsidRDefault="007165A3" w:rsidP="00A82DC3">
      <w:pPr>
        <w:pStyle w:val="TITRE100"/>
      </w:pPr>
      <w:bookmarkStart w:id="6" w:name="_Toc133586758"/>
      <w:r>
        <w:br w:type="page"/>
      </w:r>
      <w:bookmarkStart w:id="7" w:name="_Toc148692582"/>
      <w:r w:rsidR="0082340C" w:rsidRPr="00CD6FB8">
        <w:lastRenderedPageBreak/>
        <w:t xml:space="preserve">ARTICLE </w:t>
      </w:r>
      <w:r w:rsidR="006A2421" w:rsidRPr="00CD6FB8">
        <w:t>1</w:t>
      </w:r>
      <w:r w:rsidR="00532707" w:rsidRPr="00CD6FB8">
        <w:t xml:space="preserve"> -</w:t>
      </w:r>
      <w:r w:rsidR="008D550C" w:rsidRPr="00CD6FB8">
        <w:t xml:space="preserve"> OBJET DU MARCHE</w:t>
      </w:r>
      <w:r w:rsidR="00DE3CBB">
        <w:t xml:space="preserve"> ET DÉSIGNATIONS DES COCONTRACTANTS</w:t>
      </w:r>
      <w:r w:rsidR="008D550C" w:rsidRPr="00CD6FB8">
        <w:t xml:space="preserve"> - DISPOSITIONS GENERALES</w:t>
      </w:r>
      <w:bookmarkEnd w:id="5"/>
      <w:bookmarkEnd w:id="6"/>
      <w:bookmarkEnd w:id="7"/>
    </w:p>
    <w:p w:rsidR="00A11B17" w:rsidRPr="00A11B17" w:rsidRDefault="00A11B17" w:rsidP="006A3768">
      <w:pPr>
        <w:pStyle w:val="TITRE100"/>
      </w:pPr>
      <w:bookmarkStart w:id="8" w:name="_Toc374413848"/>
    </w:p>
    <w:p w:rsidR="008D550C" w:rsidRPr="00A82DC3" w:rsidRDefault="006A3768" w:rsidP="00A82DC3">
      <w:pPr>
        <w:pStyle w:val="Titre2"/>
      </w:pPr>
      <w:bookmarkStart w:id="9" w:name="_Toc465261421"/>
      <w:bookmarkStart w:id="10" w:name="_Toc133586022"/>
      <w:bookmarkStart w:id="11" w:name="_Toc133586518"/>
      <w:bookmarkStart w:id="12" w:name="_Toc133586597"/>
      <w:bookmarkStart w:id="13" w:name="_Toc133586759"/>
      <w:bookmarkStart w:id="14" w:name="_Toc148692583"/>
      <w:r w:rsidRPr="00A82DC3">
        <w:t xml:space="preserve">1.1 </w:t>
      </w:r>
      <w:r w:rsidR="008D550C" w:rsidRPr="00A82DC3">
        <w:t>Objet</w:t>
      </w:r>
      <w:bookmarkEnd w:id="8"/>
      <w:bookmarkEnd w:id="9"/>
      <w:bookmarkEnd w:id="10"/>
      <w:bookmarkEnd w:id="11"/>
      <w:bookmarkEnd w:id="12"/>
      <w:bookmarkEnd w:id="13"/>
      <w:r w:rsidR="002B700A">
        <w:t xml:space="preserve"> - Allotissement</w:t>
      </w:r>
      <w:bookmarkEnd w:id="14"/>
    </w:p>
    <w:p w:rsidR="006A2421" w:rsidRPr="006A2421" w:rsidRDefault="006A2421" w:rsidP="006A2421"/>
    <w:p w:rsidR="0077229B" w:rsidRDefault="002F27C1" w:rsidP="006A2421">
      <w:r>
        <w:rPr>
          <w:rFonts w:cs="Arial"/>
        </w:rPr>
        <w:t>L</w:t>
      </w:r>
      <w:r w:rsidR="009827C3">
        <w:rPr>
          <w:rFonts w:cs="Arial"/>
        </w:rPr>
        <w:t>e présent accord cadre</w:t>
      </w:r>
      <w:r w:rsidR="00A14670">
        <w:rPr>
          <w:rFonts w:cs="Arial"/>
        </w:rPr>
        <w:t xml:space="preserve"> (AC)</w:t>
      </w:r>
      <w:r w:rsidR="009827C3">
        <w:rPr>
          <w:rFonts w:cs="Arial"/>
        </w:rPr>
        <w:t xml:space="preserve"> </w:t>
      </w:r>
      <w:r>
        <w:rPr>
          <w:rFonts w:cs="Arial"/>
        </w:rPr>
        <w:t>a</w:t>
      </w:r>
      <w:r w:rsidR="0077229B" w:rsidRPr="00BF29B2">
        <w:rPr>
          <w:rFonts w:cs="Arial"/>
        </w:rPr>
        <w:t xml:space="preserve"> pour objet </w:t>
      </w:r>
      <w:r w:rsidR="009827C3">
        <w:rPr>
          <w:rFonts w:cs="Arial"/>
        </w:rPr>
        <w:t xml:space="preserve">de définir les termes contractuels généraux entre </w:t>
      </w:r>
      <w:r w:rsidR="00A14670">
        <w:rPr>
          <w:rFonts w:cs="Arial"/>
        </w:rPr>
        <w:t>l’acheteur</w:t>
      </w:r>
      <w:r w:rsidR="009827C3">
        <w:rPr>
          <w:rFonts w:cs="Arial"/>
        </w:rPr>
        <w:t xml:space="preserve"> et l’opérateur économique titulaire de l’AC dans le cadre de la passation de </w:t>
      </w:r>
      <w:r w:rsidR="009827C3">
        <w:t>Marchés Subséquents (MS) relatifs aux missions</w:t>
      </w:r>
      <w:r w:rsidR="009827C3">
        <w:rPr>
          <w:rFonts w:cs="Arial"/>
        </w:rPr>
        <w:t xml:space="preserve"> </w:t>
      </w:r>
      <w:r w:rsidR="0077229B" w:rsidRPr="00BF29B2">
        <w:rPr>
          <w:rFonts w:cs="Arial"/>
        </w:rPr>
        <w:t xml:space="preserve">des prestations </w:t>
      </w:r>
      <w:r w:rsidR="00BF29B2" w:rsidRPr="00BF29B2">
        <w:rPr>
          <w:rFonts w:cs="Arial"/>
        </w:rPr>
        <w:t>de maî</w:t>
      </w:r>
      <w:r w:rsidR="00DA5F47" w:rsidRPr="00BF29B2">
        <w:rPr>
          <w:rFonts w:cs="Arial"/>
        </w:rPr>
        <w:t>trise d’</w:t>
      </w:r>
      <w:r w:rsidR="00BF29B2" w:rsidRPr="00BF29B2">
        <w:rPr>
          <w:rFonts w:cs="Arial"/>
        </w:rPr>
        <w:t>œuvre</w:t>
      </w:r>
      <w:r w:rsidR="0077229B" w:rsidRPr="00BF29B2">
        <w:rPr>
          <w:rFonts w:cs="Arial"/>
        </w:rPr>
        <w:t xml:space="preserve"> liées à l’opération </w:t>
      </w:r>
      <w:r w:rsidR="009827C3">
        <w:rPr>
          <w:rFonts w:cs="Arial"/>
        </w:rPr>
        <w:t>PARAMED.</w:t>
      </w:r>
    </w:p>
    <w:p w:rsidR="00917F42" w:rsidRDefault="00917F42" w:rsidP="006A2421"/>
    <w:p w:rsidR="00DA5F47" w:rsidRPr="00BF29B2" w:rsidRDefault="009827C3" w:rsidP="006A2421">
      <w:pPr>
        <w:rPr>
          <w:rFonts w:cs="Arial"/>
        </w:rPr>
      </w:pPr>
      <w:r>
        <w:t>Ainsi, les prestations sont décrites de manière générale dans les cahiers des charges de l’accord-cadre (CCAP, CCTP et annexes) et seront décrites avec précision dans le cahier des clauses particulières valant acte d’engagement (CCP valant AE) et annexes de chaque marché subséquent qui sera contractualisé avec le titulaire de l’accord cadre retenu dans le cadre du concours de MOE.</w:t>
      </w:r>
    </w:p>
    <w:p w:rsidR="005E3C9F" w:rsidRPr="00A11B17" w:rsidRDefault="005E3C9F" w:rsidP="006A2421">
      <w:pPr>
        <w:rPr>
          <w:rFonts w:cs="Arial"/>
          <w:sz w:val="16"/>
          <w:szCs w:val="16"/>
        </w:rPr>
      </w:pPr>
    </w:p>
    <w:p w:rsidR="005E3C9F" w:rsidRPr="005633AA" w:rsidRDefault="005E3C9F" w:rsidP="00004270">
      <w:pPr>
        <w:rPr>
          <w:rFonts w:cs="Arial"/>
          <w:b/>
          <w:szCs w:val="18"/>
        </w:rPr>
      </w:pPr>
      <w:r w:rsidRPr="00790C64">
        <w:rPr>
          <w:rFonts w:cs="Arial"/>
        </w:rPr>
        <w:t xml:space="preserve">Le maître d’ouvrage </w:t>
      </w:r>
      <w:r w:rsidR="00EB79A0" w:rsidRPr="00790C64">
        <w:rPr>
          <w:rFonts w:cs="Arial"/>
        </w:rPr>
        <w:t>est :</w:t>
      </w:r>
      <w:r w:rsidR="00F01B06">
        <w:rPr>
          <w:rFonts w:cs="Arial"/>
        </w:rPr>
        <w:t xml:space="preserve"> l</w:t>
      </w:r>
      <w:r w:rsidRPr="00790C64">
        <w:rPr>
          <w:rFonts w:cs="Arial"/>
          <w:b/>
          <w:szCs w:val="18"/>
        </w:rPr>
        <w:t>’Université Aix</w:t>
      </w:r>
      <w:r w:rsidR="00F01B06">
        <w:rPr>
          <w:rFonts w:cs="Arial"/>
          <w:b/>
          <w:szCs w:val="18"/>
        </w:rPr>
        <w:t>-</w:t>
      </w:r>
      <w:r w:rsidRPr="00790C64">
        <w:rPr>
          <w:rFonts w:cs="Arial"/>
          <w:b/>
          <w:szCs w:val="18"/>
        </w:rPr>
        <w:t>Marseille</w:t>
      </w:r>
    </w:p>
    <w:p w:rsidR="00BB4943" w:rsidRPr="00BB4943" w:rsidRDefault="00BB4943" w:rsidP="00F108DC">
      <w:pPr>
        <w:rPr>
          <w:rFonts w:cs="Arial"/>
          <w:sz w:val="16"/>
          <w:szCs w:val="16"/>
        </w:rPr>
      </w:pPr>
    </w:p>
    <w:p w:rsidR="000B2227" w:rsidRDefault="005E3C9F" w:rsidP="00004270">
      <w:r w:rsidRPr="00790C64">
        <w:rPr>
          <w:rFonts w:cs="Arial"/>
          <w:szCs w:val="18"/>
        </w:rPr>
        <w:t xml:space="preserve">Le service </w:t>
      </w:r>
      <w:r w:rsidR="00CC704A">
        <w:rPr>
          <w:rFonts w:cs="Arial"/>
          <w:szCs w:val="18"/>
        </w:rPr>
        <w:t xml:space="preserve">sur maître d’ouvrage </w:t>
      </w:r>
      <w:r w:rsidRPr="00790C64">
        <w:rPr>
          <w:rFonts w:cs="Arial"/>
          <w:szCs w:val="18"/>
        </w:rPr>
        <w:t xml:space="preserve">porteur de projet </w:t>
      </w:r>
      <w:r w:rsidR="00EB79A0" w:rsidRPr="00790C64">
        <w:rPr>
          <w:rFonts w:cs="Arial"/>
          <w:szCs w:val="18"/>
        </w:rPr>
        <w:t xml:space="preserve">est </w:t>
      </w:r>
      <w:r w:rsidR="00004270">
        <w:rPr>
          <w:rFonts w:cs="Arial"/>
          <w:szCs w:val="18"/>
        </w:rPr>
        <w:t xml:space="preserve">la </w:t>
      </w:r>
      <w:r w:rsidR="000B2227">
        <w:t xml:space="preserve">DDPI : Direction du développement du patrimoine immobilier </w:t>
      </w:r>
    </w:p>
    <w:p w:rsidR="007165A3" w:rsidRDefault="007165A3" w:rsidP="00F108DC"/>
    <w:p w:rsidR="000B2227" w:rsidRDefault="000B2227" w:rsidP="00F108DC">
      <w:r w:rsidRPr="00CD6FB8">
        <w:rPr>
          <w:rFonts w:ascii="Segoe UI Symbol" w:hAnsi="Segoe UI Symbol" w:cs="Segoe UI Symbol"/>
          <w:b/>
          <w:bCs/>
        </w:rPr>
        <w:t>➢</w:t>
      </w:r>
      <w:r w:rsidRPr="00CD6FB8">
        <w:rPr>
          <w:b/>
          <w:bCs/>
        </w:rPr>
        <w:t xml:space="preserve"> Pour l</w:t>
      </w:r>
      <w:r w:rsidRPr="00CD6FB8">
        <w:rPr>
          <w:rFonts w:cs="Verdana"/>
          <w:b/>
          <w:bCs/>
        </w:rPr>
        <w:t>’</w:t>
      </w:r>
      <w:r w:rsidRPr="00CD6FB8">
        <w:rPr>
          <w:b/>
          <w:bCs/>
        </w:rPr>
        <w:t xml:space="preserve">accord-cadre </w:t>
      </w:r>
      <w:r w:rsidR="00004270">
        <w:rPr>
          <w:b/>
          <w:bCs/>
        </w:rPr>
        <w:t>et les marchés subséquents</w:t>
      </w:r>
      <w:r w:rsidRPr="00CD6FB8">
        <w:rPr>
          <w:b/>
          <w:bCs/>
        </w:rPr>
        <w:t>:</w:t>
      </w:r>
      <w:r>
        <w:t xml:space="preserve"> La Direction du D</w:t>
      </w:r>
      <w:r>
        <w:rPr>
          <w:rFonts w:cs="Verdana"/>
        </w:rPr>
        <w:t>é</w:t>
      </w:r>
      <w:r>
        <w:t>veloppement du Patrimoine Immobilier (DDPI) d</w:t>
      </w:r>
      <w:r>
        <w:rPr>
          <w:rFonts w:cs="Verdana"/>
        </w:rPr>
        <w:t>’</w:t>
      </w:r>
      <w:r>
        <w:t>AMU sera l’interlocuteur en charge du suivi de l’exécution de l’accord-cadre</w:t>
      </w:r>
      <w:r w:rsidR="00004270">
        <w:t xml:space="preserve"> et de chaque marché subséquents.</w:t>
      </w:r>
    </w:p>
    <w:p w:rsidR="000B2227" w:rsidRDefault="000B2227" w:rsidP="00F108DC"/>
    <w:p w:rsidR="0026092B" w:rsidRPr="00135559" w:rsidRDefault="002B700A" w:rsidP="00135559">
      <w:pPr>
        <w:rPr>
          <w:b/>
          <w:color w:val="2E74B5"/>
          <w:szCs w:val="18"/>
        </w:rPr>
      </w:pPr>
      <w:r w:rsidRPr="00CD6DB9">
        <w:rPr>
          <w:rFonts w:cs="Arial"/>
          <w:szCs w:val="18"/>
        </w:rPr>
        <w:t>L’accord-cadre n’est pas alloti</w:t>
      </w:r>
      <w:bookmarkStart w:id="15" w:name="_Toc465261422"/>
      <w:bookmarkStart w:id="16" w:name="_Toc133586023"/>
      <w:bookmarkStart w:id="17" w:name="_Toc133586519"/>
      <w:bookmarkStart w:id="18" w:name="_Toc133586598"/>
      <w:bookmarkStart w:id="19" w:name="_Toc133586760"/>
    </w:p>
    <w:p w:rsidR="002B700A" w:rsidRDefault="006A3768" w:rsidP="00744199">
      <w:pPr>
        <w:pStyle w:val="Titre2"/>
      </w:pPr>
      <w:bookmarkStart w:id="20" w:name="_Toc148692584"/>
      <w:r>
        <w:t>1.</w:t>
      </w:r>
      <w:r w:rsidR="00135559">
        <w:t>2</w:t>
      </w:r>
      <w:r>
        <w:t xml:space="preserve"> </w:t>
      </w:r>
      <w:r w:rsidR="002B700A">
        <w:t>Périmètre de l’accord-cadre</w:t>
      </w:r>
      <w:bookmarkEnd w:id="20"/>
    </w:p>
    <w:p w:rsidR="002B700A" w:rsidRPr="0000363F" w:rsidRDefault="002B700A" w:rsidP="002B700A">
      <w:pPr>
        <w:rPr>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2373"/>
        <w:gridCol w:w="5339"/>
      </w:tblGrid>
      <w:tr w:rsidR="002B700A" w:rsidRPr="002107C2" w:rsidTr="008F2B6A">
        <w:tc>
          <w:tcPr>
            <w:tcW w:w="1951" w:type="dxa"/>
            <w:shd w:val="clear" w:color="auto" w:fill="D9D9D9"/>
            <w:vAlign w:val="center"/>
          </w:tcPr>
          <w:p w:rsidR="002B700A" w:rsidRPr="00004270" w:rsidRDefault="002B700A" w:rsidP="00004270">
            <w:pPr>
              <w:tabs>
                <w:tab w:val="left" w:pos="2660"/>
              </w:tabs>
              <w:jc w:val="center"/>
              <w:rPr>
                <w:rFonts w:eastAsia="Calibri"/>
                <w:b/>
                <w:szCs w:val="18"/>
              </w:rPr>
            </w:pPr>
            <w:r w:rsidRPr="00004270">
              <w:rPr>
                <w:rFonts w:eastAsia="Calibri"/>
                <w:b/>
                <w:szCs w:val="18"/>
              </w:rPr>
              <w:t>AC / MS</w:t>
            </w:r>
          </w:p>
        </w:tc>
        <w:tc>
          <w:tcPr>
            <w:tcW w:w="2410" w:type="dxa"/>
            <w:shd w:val="clear" w:color="auto" w:fill="D9D9D9"/>
            <w:vAlign w:val="center"/>
          </w:tcPr>
          <w:p w:rsidR="002B700A" w:rsidRPr="00004270" w:rsidRDefault="002B700A" w:rsidP="00004270">
            <w:pPr>
              <w:tabs>
                <w:tab w:val="left" w:pos="2660"/>
              </w:tabs>
              <w:jc w:val="center"/>
              <w:rPr>
                <w:rFonts w:eastAsia="Calibri"/>
                <w:b/>
                <w:szCs w:val="18"/>
              </w:rPr>
            </w:pPr>
            <w:r w:rsidRPr="00004270">
              <w:rPr>
                <w:rFonts w:eastAsia="Calibri"/>
                <w:b/>
                <w:szCs w:val="18"/>
              </w:rPr>
              <w:t>Périmètre opérationnel</w:t>
            </w:r>
          </w:p>
        </w:tc>
        <w:tc>
          <w:tcPr>
            <w:tcW w:w="5493" w:type="dxa"/>
            <w:shd w:val="clear" w:color="auto" w:fill="D9D9D9"/>
            <w:vAlign w:val="center"/>
          </w:tcPr>
          <w:p w:rsidR="002B700A" w:rsidRPr="00004270" w:rsidRDefault="002B700A" w:rsidP="00004270">
            <w:pPr>
              <w:tabs>
                <w:tab w:val="left" w:pos="2660"/>
              </w:tabs>
              <w:jc w:val="center"/>
              <w:rPr>
                <w:rFonts w:eastAsia="Calibri"/>
                <w:b/>
                <w:szCs w:val="18"/>
              </w:rPr>
            </w:pPr>
            <w:r w:rsidRPr="00004270">
              <w:rPr>
                <w:rFonts w:eastAsia="Calibri"/>
                <w:b/>
                <w:szCs w:val="18"/>
              </w:rPr>
              <w:t>Missions attendues</w:t>
            </w:r>
          </w:p>
        </w:tc>
      </w:tr>
      <w:tr w:rsidR="002B700A" w:rsidRPr="00BC49D6" w:rsidTr="00004270">
        <w:trPr>
          <w:trHeight w:val="427"/>
        </w:trPr>
        <w:tc>
          <w:tcPr>
            <w:tcW w:w="1951" w:type="dxa"/>
            <w:shd w:val="clear" w:color="auto" w:fill="auto"/>
            <w:vAlign w:val="center"/>
          </w:tcPr>
          <w:p w:rsidR="002B700A" w:rsidRPr="00BC49D6" w:rsidRDefault="002B700A" w:rsidP="00EF7E3E">
            <w:pPr>
              <w:tabs>
                <w:tab w:val="left" w:pos="2660"/>
              </w:tabs>
              <w:jc w:val="center"/>
              <w:rPr>
                <w:rFonts w:eastAsia="Calibri"/>
                <w:bCs/>
                <w:szCs w:val="18"/>
              </w:rPr>
            </w:pPr>
            <w:r w:rsidRPr="00BC49D6">
              <w:rPr>
                <w:rFonts w:eastAsia="Calibri"/>
                <w:bCs/>
                <w:szCs w:val="18"/>
              </w:rPr>
              <w:t>AC</w:t>
            </w:r>
          </w:p>
        </w:tc>
        <w:tc>
          <w:tcPr>
            <w:tcW w:w="2410" w:type="dxa"/>
            <w:vAlign w:val="center"/>
          </w:tcPr>
          <w:p w:rsidR="002B700A" w:rsidRPr="00BC49D6" w:rsidRDefault="002B700A" w:rsidP="00EF7E3E">
            <w:pPr>
              <w:tabs>
                <w:tab w:val="left" w:pos="2660"/>
              </w:tabs>
              <w:jc w:val="left"/>
              <w:rPr>
                <w:rFonts w:eastAsia="Calibri"/>
                <w:bCs/>
                <w:szCs w:val="18"/>
              </w:rPr>
            </w:pPr>
            <w:r w:rsidRPr="00BC49D6">
              <w:rPr>
                <w:rFonts w:eastAsia="Calibri"/>
                <w:bCs/>
                <w:szCs w:val="18"/>
              </w:rPr>
              <w:t>Opération PARAMED</w:t>
            </w:r>
          </w:p>
        </w:tc>
        <w:tc>
          <w:tcPr>
            <w:tcW w:w="5493" w:type="dxa"/>
            <w:shd w:val="clear" w:color="auto" w:fill="auto"/>
            <w:vAlign w:val="center"/>
          </w:tcPr>
          <w:p w:rsidR="002B700A" w:rsidRPr="00BC49D6" w:rsidRDefault="002B700A" w:rsidP="00EF7E3E">
            <w:pPr>
              <w:tabs>
                <w:tab w:val="left" w:pos="2660"/>
              </w:tabs>
              <w:jc w:val="left"/>
              <w:rPr>
                <w:rFonts w:eastAsia="Calibri"/>
                <w:bCs/>
                <w:szCs w:val="18"/>
              </w:rPr>
            </w:pPr>
            <w:r w:rsidRPr="00BC49D6">
              <w:rPr>
                <w:rFonts w:eastAsia="Calibri"/>
                <w:bCs/>
                <w:szCs w:val="18"/>
              </w:rPr>
              <w:t>Concours de MOE sur APS</w:t>
            </w:r>
          </w:p>
        </w:tc>
      </w:tr>
      <w:tr w:rsidR="00551909" w:rsidRPr="00BC49D6" w:rsidTr="00831115">
        <w:trPr>
          <w:trHeight w:val="229"/>
        </w:trPr>
        <w:tc>
          <w:tcPr>
            <w:tcW w:w="1951" w:type="dxa"/>
            <w:tcBorders>
              <w:bottom w:val="single" w:sz="4" w:space="0" w:color="auto"/>
            </w:tcBorders>
            <w:shd w:val="clear" w:color="auto" w:fill="auto"/>
            <w:vAlign w:val="center"/>
          </w:tcPr>
          <w:p w:rsidR="00551909" w:rsidRPr="00BC49D6" w:rsidRDefault="00551909" w:rsidP="00EF7E3E">
            <w:pPr>
              <w:tabs>
                <w:tab w:val="left" w:pos="2660"/>
              </w:tabs>
              <w:jc w:val="center"/>
              <w:rPr>
                <w:rFonts w:eastAsia="Calibri"/>
                <w:bCs/>
                <w:szCs w:val="18"/>
              </w:rPr>
            </w:pPr>
            <w:r w:rsidRPr="00BC49D6">
              <w:rPr>
                <w:rFonts w:eastAsia="Calibri"/>
                <w:bCs/>
                <w:szCs w:val="18"/>
              </w:rPr>
              <w:t>MS1 PARAMED 1</w:t>
            </w:r>
          </w:p>
        </w:tc>
        <w:tc>
          <w:tcPr>
            <w:tcW w:w="2410" w:type="dxa"/>
            <w:vMerge w:val="restart"/>
            <w:vAlign w:val="center"/>
          </w:tcPr>
          <w:p w:rsidR="00551909" w:rsidRPr="00BC49D6" w:rsidRDefault="00551909" w:rsidP="00EF7E3E">
            <w:pPr>
              <w:tabs>
                <w:tab w:val="left" w:pos="2660"/>
              </w:tabs>
              <w:jc w:val="left"/>
              <w:rPr>
                <w:rFonts w:eastAsia="Calibri"/>
                <w:bCs/>
                <w:szCs w:val="18"/>
              </w:rPr>
            </w:pPr>
            <w:r w:rsidRPr="00BC49D6">
              <w:rPr>
                <w:rFonts w:eastAsia="Calibri"/>
                <w:bCs/>
                <w:szCs w:val="18"/>
              </w:rPr>
              <w:t>Décrit dans le CCTP et le Programme</w:t>
            </w:r>
          </w:p>
        </w:tc>
        <w:tc>
          <w:tcPr>
            <w:tcW w:w="5493" w:type="dxa"/>
            <w:vMerge w:val="restart"/>
            <w:shd w:val="clear" w:color="auto" w:fill="auto"/>
            <w:vAlign w:val="center"/>
          </w:tcPr>
          <w:p w:rsidR="00551909" w:rsidRPr="00BC49D6" w:rsidRDefault="00551909" w:rsidP="00EF7E3E">
            <w:pPr>
              <w:tabs>
                <w:tab w:val="left" w:pos="2660"/>
              </w:tabs>
              <w:jc w:val="left"/>
              <w:rPr>
                <w:rFonts w:eastAsia="Calibri"/>
                <w:bCs/>
                <w:szCs w:val="18"/>
              </w:rPr>
            </w:pPr>
            <w:r w:rsidRPr="00BC49D6">
              <w:rPr>
                <w:rFonts w:eastAsia="Calibri"/>
                <w:bCs/>
                <w:szCs w:val="18"/>
              </w:rPr>
              <w:t xml:space="preserve">Mission base </w:t>
            </w:r>
          </w:p>
          <w:p w:rsidR="00551909" w:rsidRPr="00BC49D6" w:rsidRDefault="00551909" w:rsidP="00EF7E3E">
            <w:pPr>
              <w:tabs>
                <w:tab w:val="left" w:pos="2660"/>
              </w:tabs>
              <w:jc w:val="left"/>
              <w:rPr>
                <w:rFonts w:eastAsia="Calibri"/>
                <w:bCs/>
                <w:szCs w:val="18"/>
              </w:rPr>
            </w:pPr>
            <w:r w:rsidRPr="00BC49D6">
              <w:rPr>
                <w:rFonts w:eastAsia="Calibri"/>
                <w:bCs/>
                <w:szCs w:val="18"/>
              </w:rPr>
              <w:t>Missions complémentaires selon MS</w:t>
            </w:r>
          </w:p>
        </w:tc>
      </w:tr>
      <w:tr w:rsidR="00551909" w:rsidRPr="00BC49D6" w:rsidTr="00831115">
        <w:trPr>
          <w:trHeight w:val="229"/>
        </w:trPr>
        <w:tc>
          <w:tcPr>
            <w:tcW w:w="1951" w:type="dxa"/>
            <w:tcBorders>
              <w:bottom w:val="single" w:sz="4" w:space="0" w:color="auto"/>
            </w:tcBorders>
            <w:shd w:val="clear" w:color="auto" w:fill="auto"/>
            <w:vAlign w:val="center"/>
          </w:tcPr>
          <w:p w:rsidR="00551909" w:rsidRPr="00BC49D6" w:rsidRDefault="00551909" w:rsidP="00EF7E3E">
            <w:pPr>
              <w:tabs>
                <w:tab w:val="left" w:pos="2660"/>
              </w:tabs>
              <w:jc w:val="center"/>
              <w:rPr>
                <w:rFonts w:eastAsia="Calibri"/>
                <w:bCs/>
                <w:szCs w:val="18"/>
              </w:rPr>
            </w:pPr>
            <w:r w:rsidRPr="00BC49D6">
              <w:rPr>
                <w:rFonts w:eastAsia="Calibri"/>
                <w:bCs/>
                <w:szCs w:val="18"/>
              </w:rPr>
              <w:t>MS2 PARAMED 2</w:t>
            </w:r>
          </w:p>
        </w:tc>
        <w:tc>
          <w:tcPr>
            <w:tcW w:w="2410" w:type="dxa"/>
            <w:vMerge/>
            <w:vAlign w:val="center"/>
          </w:tcPr>
          <w:p w:rsidR="00551909" w:rsidRPr="00BC49D6" w:rsidRDefault="00551909" w:rsidP="00EF7E3E">
            <w:pPr>
              <w:tabs>
                <w:tab w:val="left" w:pos="2660"/>
              </w:tabs>
              <w:jc w:val="left"/>
              <w:rPr>
                <w:rFonts w:eastAsia="Calibri"/>
                <w:bCs/>
                <w:szCs w:val="18"/>
              </w:rPr>
            </w:pPr>
          </w:p>
        </w:tc>
        <w:tc>
          <w:tcPr>
            <w:tcW w:w="5493" w:type="dxa"/>
            <w:vMerge/>
            <w:shd w:val="clear" w:color="auto" w:fill="auto"/>
            <w:vAlign w:val="center"/>
          </w:tcPr>
          <w:p w:rsidR="00551909" w:rsidRPr="00BC49D6" w:rsidRDefault="00551909" w:rsidP="00EF7E3E">
            <w:pPr>
              <w:tabs>
                <w:tab w:val="left" w:pos="2660"/>
              </w:tabs>
              <w:jc w:val="left"/>
              <w:rPr>
                <w:rFonts w:eastAsia="Calibri"/>
                <w:bCs/>
                <w:szCs w:val="18"/>
              </w:rPr>
            </w:pPr>
          </w:p>
        </w:tc>
      </w:tr>
      <w:tr w:rsidR="00551909" w:rsidRPr="00BC49D6" w:rsidTr="00551909">
        <w:trPr>
          <w:trHeight w:val="229"/>
        </w:trPr>
        <w:tc>
          <w:tcPr>
            <w:tcW w:w="1951" w:type="dxa"/>
            <w:shd w:val="clear" w:color="auto" w:fill="auto"/>
            <w:vAlign w:val="center"/>
          </w:tcPr>
          <w:p w:rsidR="00551909" w:rsidRPr="00BC49D6" w:rsidRDefault="00551909" w:rsidP="00EF7E3E">
            <w:pPr>
              <w:tabs>
                <w:tab w:val="left" w:pos="2660"/>
              </w:tabs>
              <w:jc w:val="center"/>
              <w:rPr>
                <w:rFonts w:eastAsia="Calibri"/>
                <w:bCs/>
                <w:szCs w:val="18"/>
              </w:rPr>
            </w:pPr>
            <w:r w:rsidRPr="00BC49D6">
              <w:rPr>
                <w:rFonts w:eastAsia="Calibri"/>
                <w:bCs/>
                <w:szCs w:val="18"/>
              </w:rPr>
              <w:t>MS3 PARAMED 3</w:t>
            </w:r>
          </w:p>
        </w:tc>
        <w:tc>
          <w:tcPr>
            <w:tcW w:w="2410" w:type="dxa"/>
            <w:vMerge/>
            <w:vAlign w:val="center"/>
          </w:tcPr>
          <w:p w:rsidR="00551909" w:rsidRPr="00BC49D6" w:rsidRDefault="00551909" w:rsidP="00EF7E3E">
            <w:pPr>
              <w:tabs>
                <w:tab w:val="left" w:pos="2660"/>
              </w:tabs>
              <w:jc w:val="left"/>
              <w:rPr>
                <w:rFonts w:eastAsia="Calibri"/>
                <w:bCs/>
                <w:szCs w:val="18"/>
              </w:rPr>
            </w:pPr>
          </w:p>
        </w:tc>
        <w:tc>
          <w:tcPr>
            <w:tcW w:w="5493" w:type="dxa"/>
            <w:vMerge/>
            <w:shd w:val="clear" w:color="auto" w:fill="auto"/>
            <w:vAlign w:val="center"/>
          </w:tcPr>
          <w:p w:rsidR="00551909" w:rsidRPr="00BC49D6" w:rsidRDefault="00551909" w:rsidP="00EF7E3E">
            <w:pPr>
              <w:tabs>
                <w:tab w:val="left" w:pos="2660"/>
              </w:tabs>
              <w:jc w:val="left"/>
              <w:rPr>
                <w:rFonts w:eastAsia="Calibri"/>
                <w:bCs/>
                <w:szCs w:val="18"/>
              </w:rPr>
            </w:pPr>
          </w:p>
        </w:tc>
      </w:tr>
      <w:tr w:rsidR="00551909" w:rsidRPr="00BC49D6" w:rsidTr="00831115">
        <w:trPr>
          <w:trHeight w:val="229"/>
        </w:trPr>
        <w:tc>
          <w:tcPr>
            <w:tcW w:w="1951" w:type="dxa"/>
            <w:tcBorders>
              <w:bottom w:val="single" w:sz="4" w:space="0" w:color="auto"/>
            </w:tcBorders>
            <w:shd w:val="clear" w:color="auto" w:fill="auto"/>
            <w:vAlign w:val="center"/>
          </w:tcPr>
          <w:p w:rsidR="00551909" w:rsidRPr="00BC49D6" w:rsidRDefault="00551909" w:rsidP="00EF7E3E">
            <w:pPr>
              <w:tabs>
                <w:tab w:val="left" w:pos="2660"/>
              </w:tabs>
              <w:jc w:val="center"/>
              <w:rPr>
                <w:rFonts w:eastAsia="Calibri"/>
                <w:bCs/>
                <w:szCs w:val="18"/>
              </w:rPr>
            </w:pPr>
            <w:r w:rsidRPr="00BC49D6">
              <w:rPr>
                <w:rFonts w:eastAsia="Calibri"/>
                <w:bCs/>
                <w:szCs w:val="18"/>
              </w:rPr>
              <w:t>Autres MS</w:t>
            </w:r>
          </w:p>
        </w:tc>
        <w:tc>
          <w:tcPr>
            <w:tcW w:w="2410" w:type="dxa"/>
            <w:vMerge/>
            <w:tcBorders>
              <w:bottom w:val="single" w:sz="4" w:space="0" w:color="auto"/>
            </w:tcBorders>
            <w:vAlign w:val="center"/>
          </w:tcPr>
          <w:p w:rsidR="00551909" w:rsidRPr="00BC49D6" w:rsidRDefault="00551909" w:rsidP="00EF7E3E">
            <w:pPr>
              <w:tabs>
                <w:tab w:val="left" w:pos="2660"/>
              </w:tabs>
              <w:jc w:val="left"/>
              <w:rPr>
                <w:rFonts w:eastAsia="Calibri"/>
                <w:bCs/>
                <w:szCs w:val="18"/>
              </w:rPr>
            </w:pPr>
          </w:p>
        </w:tc>
        <w:tc>
          <w:tcPr>
            <w:tcW w:w="5493" w:type="dxa"/>
            <w:vMerge/>
            <w:tcBorders>
              <w:bottom w:val="single" w:sz="4" w:space="0" w:color="auto"/>
            </w:tcBorders>
            <w:shd w:val="clear" w:color="auto" w:fill="auto"/>
            <w:vAlign w:val="center"/>
          </w:tcPr>
          <w:p w:rsidR="00551909" w:rsidRPr="00BC49D6" w:rsidRDefault="00551909" w:rsidP="00EF7E3E">
            <w:pPr>
              <w:tabs>
                <w:tab w:val="left" w:pos="2660"/>
              </w:tabs>
              <w:jc w:val="left"/>
              <w:rPr>
                <w:rFonts w:eastAsia="Calibri"/>
                <w:bCs/>
                <w:szCs w:val="18"/>
              </w:rPr>
            </w:pPr>
          </w:p>
        </w:tc>
      </w:tr>
    </w:tbl>
    <w:p w:rsidR="002B700A" w:rsidRDefault="002B700A" w:rsidP="002B700A">
      <w:pPr>
        <w:rPr>
          <w:b/>
          <w:color w:val="2E74B5"/>
          <w:szCs w:val="18"/>
        </w:rPr>
      </w:pPr>
    </w:p>
    <w:p w:rsidR="002B700A" w:rsidRPr="00AD644A" w:rsidRDefault="002B700A" w:rsidP="002B700A">
      <w:pPr>
        <w:pStyle w:val="Corpsdetexte2"/>
        <w:rPr>
          <w:rFonts w:cs="Arial"/>
          <w:sz w:val="18"/>
          <w:szCs w:val="18"/>
        </w:rPr>
      </w:pPr>
      <w:r w:rsidRPr="00AD644A">
        <w:rPr>
          <w:rFonts w:cs="Arial"/>
          <w:sz w:val="18"/>
          <w:szCs w:val="18"/>
        </w:rPr>
        <w:t>Le contrat est conclu entre :</w:t>
      </w:r>
    </w:p>
    <w:p w:rsidR="002B700A" w:rsidRDefault="002B700A" w:rsidP="008F2B6A">
      <w:pPr>
        <w:numPr>
          <w:ilvl w:val="0"/>
          <w:numId w:val="19"/>
        </w:numPr>
        <w:autoSpaceDE w:val="0"/>
        <w:autoSpaceDN w:val="0"/>
        <w:adjustRightInd w:val="0"/>
        <w:rPr>
          <w:rFonts w:cs="Arial"/>
          <w:sz w:val="19"/>
          <w:szCs w:val="19"/>
        </w:rPr>
      </w:pPr>
      <w:r>
        <w:rPr>
          <w:rFonts w:cs="Arial"/>
          <w:szCs w:val="19"/>
        </w:rPr>
        <w:t xml:space="preserve">la personne morale désignée comme </w:t>
      </w:r>
      <w:r>
        <w:rPr>
          <w:rFonts w:cs="Arial"/>
          <w:b/>
          <w:bCs/>
          <w:szCs w:val="19"/>
        </w:rPr>
        <w:t>« maître d'ouvrage »</w:t>
      </w:r>
      <w:r>
        <w:rPr>
          <w:rFonts w:cs="Arial"/>
          <w:szCs w:val="19"/>
        </w:rPr>
        <w:t xml:space="preserve"> dans le CCAP ;</w:t>
      </w:r>
    </w:p>
    <w:p w:rsidR="00032829" w:rsidRPr="00004270" w:rsidRDefault="002B700A" w:rsidP="008F2B6A">
      <w:pPr>
        <w:numPr>
          <w:ilvl w:val="0"/>
          <w:numId w:val="19"/>
        </w:numPr>
        <w:autoSpaceDE w:val="0"/>
        <w:autoSpaceDN w:val="0"/>
        <w:adjustRightInd w:val="0"/>
        <w:spacing w:after="120"/>
        <w:ind w:left="714" w:hanging="357"/>
        <w:rPr>
          <w:rFonts w:cs="Arial"/>
          <w:szCs w:val="19"/>
        </w:rPr>
      </w:pPr>
      <w:r>
        <w:rPr>
          <w:rFonts w:cs="Arial"/>
          <w:szCs w:val="19"/>
        </w:rPr>
        <w:t xml:space="preserve">et le titulaire du marché désigné dans l'acte d'engagement dénommé </w:t>
      </w:r>
      <w:r>
        <w:rPr>
          <w:rFonts w:cs="Arial"/>
          <w:b/>
          <w:bCs/>
          <w:szCs w:val="19"/>
        </w:rPr>
        <w:t>« maître d'œuvre »</w:t>
      </w:r>
      <w:r>
        <w:rPr>
          <w:rFonts w:cs="Arial"/>
          <w:szCs w:val="19"/>
        </w:rPr>
        <w:t xml:space="preserve"> dans le CCAP. </w:t>
      </w:r>
      <w:bookmarkStart w:id="21" w:name="_Toc374413854"/>
      <w:bookmarkStart w:id="22" w:name="_Toc465261428"/>
      <w:bookmarkStart w:id="23" w:name="_Toc133586767"/>
      <w:bookmarkEnd w:id="15"/>
      <w:bookmarkEnd w:id="16"/>
      <w:bookmarkEnd w:id="17"/>
      <w:bookmarkEnd w:id="18"/>
      <w:bookmarkEnd w:id="19"/>
    </w:p>
    <w:p w:rsidR="00032829" w:rsidRDefault="00032829" w:rsidP="006A3768">
      <w:pPr>
        <w:pStyle w:val="TITRE100"/>
      </w:pPr>
    </w:p>
    <w:p w:rsidR="002B700A" w:rsidRDefault="0082340C" w:rsidP="006A3768">
      <w:pPr>
        <w:pStyle w:val="TITRE100"/>
      </w:pPr>
      <w:bookmarkStart w:id="24" w:name="_Toc148692585"/>
      <w:r w:rsidRPr="00BB4943">
        <w:t xml:space="preserve">ARTICLE </w:t>
      </w:r>
      <w:r w:rsidR="00D0439E" w:rsidRPr="00BB4943">
        <w:t>2</w:t>
      </w:r>
      <w:r w:rsidR="004C72EB" w:rsidRPr="00BB4943">
        <w:t xml:space="preserve"> </w:t>
      </w:r>
      <w:r w:rsidR="002B700A">
        <w:t>– PROCEDURE ET FORME</w:t>
      </w:r>
      <w:bookmarkEnd w:id="24"/>
    </w:p>
    <w:p w:rsidR="002B700A" w:rsidRDefault="002B700A" w:rsidP="002B700A">
      <w:pPr>
        <w:pStyle w:val="Titre2"/>
      </w:pPr>
      <w:bookmarkStart w:id="25" w:name="_Toc148692586"/>
      <w:r>
        <w:t>2</w:t>
      </w:r>
      <w:r w:rsidRPr="006A3768">
        <w:t>.</w:t>
      </w:r>
      <w:r>
        <w:t>1</w:t>
      </w:r>
      <w:r w:rsidRPr="006A3768">
        <w:t xml:space="preserve"> </w:t>
      </w:r>
      <w:r>
        <w:t>Procédure de passation</w:t>
      </w:r>
      <w:bookmarkEnd w:id="25"/>
    </w:p>
    <w:p w:rsidR="002B700A" w:rsidRDefault="002B700A" w:rsidP="002B700A">
      <w:pPr>
        <w:pStyle w:val="Corpsdetexte2"/>
        <w:rPr>
          <w:rFonts w:cs="Arial"/>
          <w:sz w:val="18"/>
          <w:szCs w:val="18"/>
        </w:rPr>
      </w:pPr>
      <w:r>
        <w:rPr>
          <w:rFonts w:cs="Arial"/>
          <w:sz w:val="18"/>
          <w:szCs w:val="18"/>
        </w:rPr>
        <w:t>Le mode de passation choisi est la</w:t>
      </w:r>
      <w:r w:rsidRPr="00BA593F">
        <w:rPr>
          <w:rFonts w:cs="Arial"/>
          <w:sz w:val="18"/>
          <w:szCs w:val="18"/>
        </w:rPr>
        <w:t xml:space="preserve"> procédure </w:t>
      </w:r>
      <w:r>
        <w:rPr>
          <w:rFonts w:cs="Arial"/>
          <w:sz w:val="18"/>
          <w:szCs w:val="18"/>
        </w:rPr>
        <w:t xml:space="preserve">formalisée de concours restreint </w:t>
      </w:r>
      <w:r w:rsidRPr="00BA593F">
        <w:rPr>
          <w:rFonts w:cs="Arial"/>
          <w:sz w:val="18"/>
          <w:szCs w:val="18"/>
        </w:rPr>
        <w:t xml:space="preserve">en application des dispositions des articles </w:t>
      </w:r>
      <w:r w:rsidRPr="00117A3F">
        <w:rPr>
          <w:rFonts w:cs="Arial"/>
          <w:sz w:val="18"/>
          <w:szCs w:val="18"/>
        </w:rPr>
        <w:t xml:space="preserve">L.2125-1 2° et </w:t>
      </w:r>
      <w:r w:rsidRPr="007A394C">
        <w:rPr>
          <w:rFonts w:cs="Arial"/>
          <w:sz w:val="18"/>
          <w:szCs w:val="18"/>
        </w:rPr>
        <w:t>R.2162-15 à R.2162-21 du Code de la Commande Publique</w:t>
      </w:r>
      <w:r>
        <w:rPr>
          <w:rFonts w:cs="Arial"/>
          <w:sz w:val="18"/>
          <w:szCs w:val="18"/>
        </w:rPr>
        <w:t>.</w:t>
      </w:r>
    </w:p>
    <w:p w:rsidR="002B700A" w:rsidRDefault="002B700A" w:rsidP="009D5C3F">
      <w:pPr>
        <w:pStyle w:val="Titre2"/>
      </w:pPr>
      <w:bookmarkStart w:id="26" w:name="_Toc148692587"/>
      <w:r>
        <w:t xml:space="preserve">2.2 </w:t>
      </w:r>
      <w:r w:rsidRPr="005E3937">
        <w:t>Forme de l’accord cadre et des marchés subséquents</w:t>
      </w:r>
      <w:bookmarkEnd w:id="26"/>
    </w:p>
    <w:p w:rsidR="002B700A" w:rsidRPr="00004270" w:rsidRDefault="002B700A" w:rsidP="002B700A">
      <w:pPr>
        <w:pStyle w:val="Corpsdetexte2"/>
        <w:ind w:left="708"/>
        <w:rPr>
          <w:bCs/>
          <w:i/>
          <w:sz w:val="18"/>
          <w:szCs w:val="18"/>
          <w:u w:val="single"/>
        </w:rPr>
      </w:pPr>
      <w:r w:rsidRPr="00004270">
        <w:rPr>
          <w:bCs/>
          <w:i/>
          <w:sz w:val="18"/>
          <w:szCs w:val="18"/>
          <w:u w:val="single"/>
        </w:rPr>
        <w:t>2.2.1 Forme de l’accord-cadre</w:t>
      </w:r>
    </w:p>
    <w:p w:rsidR="002B700A" w:rsidRDefault="002B700A" w:rsidP="002B700A">
      <w:pPr>
        <w:pStyle w:val="Corpsdetexte2"/>
        <w:rPr>
          <w:rFonts w:cs="Arial"/>
          <w:sz w:val="18"/>
          <w:szCs w:val="18"/>
        </w:rPr>
      </w:pPr>
      <w:r>
        <w:rPr>
          <w:bCs/>
          <w:sz w:val="18"/>
          <w:szCs w:val="18"/>
        </w:rPr>
        <w:t>Le marché prend la forme</w:t>
      </w:r>
      <w:r w:rsidRPr="0000363F">
        <w:rPr>
          <w:bCs/>
          <w:sz w:val="18"/>
          <w:szCs w:val="18"/>
        </w:rPr>
        <w:t xml:space="preserve"> d’un </w:t>
      </w:r>
      <w:r>
        <w:rPr>
          <w:bCs/>
          <w:sz w:val="18"/>
          <w:szCs w:val="18"/>
        </w:rPr>
        <w:t xml:space="preserve">accord-cadre de </w:t>
      </w:r>
      <w:r>
        <w:rPr>
          <w:b/>
          <w:bCs/>
          <w:sz w:val="18"/>
          <w:szCs w:val="18"/>
        </w:rPr>
        <w:t>maîtrise d’œuvre</w:t>
      </w:r>
      <w:r w:rsidRPr="0000363F">
        <w:rPr>
          <w:b/>
          <w:bCs/>
          <w:sz w:val="18"/>
          <w:szCs w:val="18"/>
        </w:rPr>
        <w:t xml:space="preserve"> </w:t>
      </w:r>
      <w:r w:rsidRPr="0000363F">
        <w:rPr>
          <w:rFonts w:cs="Arial"/>
          <w:sz w:val="18"/>
          <w:szCs w:val="18"/>
        </w:rPr>
        <w:t>en application des dis</w:t>
      </w:r>
      <w:r>
        <w:rPr>
          <w:rFonts w:cs="Arial"/>
          <w:sz w:val="18"/>
          <w:szCs w:val="18"/>
        </w:rPr>
        <w:t xml:space="preserve">positions </w:t>
      </w:r>
      <w:r w:rsidRPr="0000363F">
        <w:rPr>
          <w:rFonts w:cs="Arial"/>
          <w:sz w:val="18"/>
          <w:szCs w:val="18"/>
        </w:rPr>
        <w:t>de</w:t>
      </w:r>
      <w:r>
        <w:rPr>
          <w:rFonts w:cs="Arial"/>
          <w:sz w:val="18"/>
          <w:szCs w:val="18"/>
        </w:rPr>
        <w:t>s</w:t>
      </w:r>
      <w:r w:rsidRPr="0000363F">
        <w:rPr>
          <w:rFonts w:cs="Arial"/>
          <w:sz w:val="18"/>
          <w:szCs w:val="18"/>
        </w:rPr>
        <w:t xml:space="preserve"> article</w:t>
      </w:r>
      <w:r>
        <w:rPr>
          <w:rFonts w:cs="Arial"/>
          <w:sz w:val="18"/>
          <w:szCs w:val="18"/>
        </w:rPr>
        <w:t>s</w:t>
      </w:r>
      <w:r w:rsidRPr="0000363F">
        <w:rPr>
          <w:rFonts w:cs="Arial"/>
          <w:sz w:val="18"/>
          <w:szCs w:val="18"/>
        </w:rPr>
        <w:t xml:space="preserve"> </w:t>
      </w:r>
      <w:r w:rsidRPr="007A394C">
        <w:rPr>
          <w:rFonts w:cs="Arial"/>
          <w:sz w:val="18"/>
          <w:szCs w:val="18"/>
        </w:rPr>
        <w:t>L.2431-1 et suivants du Code de la commande publique.</w:t>
      </w:r>
    </w:p>
    <w:p w:rsidR="002B700A" w:rsidRDefault="002B700A" w:rsidP="002B700A">
      <w:pPr>
        <w:pStyle w:val="Corpsdetexte2"/>
        <w:rPr>
          <w:rFonts w:cs="Arial"/>
          <w:sz w:val="18"/>
          <w:szCs w:val="18"/>
        </w:rPr>
      </w:pPr>
    </w:p>
    <w:p w:rsidR="002B700A" w:rsidRPr="00004270" w:rsidRDefault="002B700A" w:rsidP="002B700A">
      <w:pPr>
        <w:ind w:firstLine="708"/>
        <w:rPr>
          <w:i/>
          <w:u w:val="single"/>
        </w:rPr>
      </w:pPr>
      <w:r w:rsidRPr="00004270">
        <w:rPr>
          <w:i/>
          <w:u w:val="single"/>
        </w:rPr>
        <w:t xml:space="preserve">2.2.2. Forme des marchés subséquents issus de l’accord cadre </w:t>
      </w:r>
    </w:p>
    <w:p w:rsidR="002B700A" w:rsidRDefault="002B700A" w:rsidP="002B700A">
      <w:pPr>
        <w:pStyle w:val="Corpsdetexte2"/>
        <w:rPr>
          <w:rFonts w:cs="Arial"/>
          <w:sz w:val="18"/>
          <w:szCs w:val="18"/>
        </w:rPr>
      </w:pPr>
      <w:r w:rsidRPr="00835565">
        <w:rPr>
          <w:rFonts w:cs="Arial"/>
          <w:sz w:val="18"/>
          <w:szCs w:val="18"/>
        </w:rPr>
        <w:t xml:space="preserve">Les marchés subséquents pourront donner lieu, selon le besoin </w:t>
      </w:r>
      <w:r>
        <w:rPr>
          <w:rFonts w:cs="Arial"/>
          <w:sz w:val="18"/>
          <w:szCs w:val="18"/>
        </w:rPr>
        <w:t>de l’acheteur</w:t>
      </w:r>
      <w:r w:rsidRPr="00835565">
        <w:rPr>
          <w:rFonts w:cs="Arial"/>
          <w:sz w:val="18"/>
          <w:szCs w:val="18"/>
        </w:rPr>
        <w:t xml:space="preserve"> concerné, à : </w:t>
      </w:r>
    </w:p>
    <w:p w:rsidR="002B700A" w:rsidRDefault="002B700A" w:rsidP="008F2B6A">
      <w:pPr>
        <w:pStyle w:val="Corpsdetexte2"/>
        <w:numPr>
          <w:ilvl w:val="0"/>
          <w:numId w:val="17"/>
        </w:numPr>
        <w:rPr>
          <w:rFonts w:cs="Arial"/>
          <w:sz w:val="18"/>
          <w:szCs w:val="18"/>
        </w:rPr>
      </w:pPr>
      <w:r w:rsidRPr="00835565">
        <w:rPr>
          <w:rFonts w:cs="Arial"/>
          <w:sz w:val="18"/>
          <w:szCs w:val="18"/>
        </w:rPr>
        <w:t xml:space="preserve">des MS </w:t>
      </w:r>
      <w:r>
        <w:rPr>
          <w:rFonts w:cs="Arial"/>
          <w:sz w:val="18"/>
          <w:szCs w:val="18"/>
        </w:rPr>
        <w:t>portant sur toute la mission de base de MOE et tout ou partie des missions complémentaires citées dans le CCTP en fonction des phases du projet</w:t>
      </w:r>
    </w:p>
    <w:p w:rsidR="00004270" w:rsidRDefault="00004270" w:rsidP="00004270">
      <w:pPr>
        <w:pStyle w:val="Corpsdetexte2"/>
        <w:ind w:left="720"/>
        <w:rPr>
          <w:rFonts w:cs="Arial"/>
          <w:sz w:val="18"/>
          <w:szCs w:val="18"/>
        </w:rPr>
      </w:pPr>
    </w:p>
    <w:p w:rsidR="002B700A" w:rsidRDefault="002B700A" w:rsidP="009D5C3F">
      <w:pPr>
        <w:rPr>
          <w:b/>
        </w:rPr>
      </w:pPr>
      <w:r w:rsidRPr="009D5C3F">
        <w:rPr>
          <w:b/>
        </w:rPr>
        <w:t>Les MS pourront être passés sur pourcentage d’honoraire de MOE du coût travaux annoncé pour le périmètre opérationnel du MS.</w:t>
      </w:r>
    </w:p>
    <w:p w:rsidR="00551909" w:rsidRDefault="00551909" w:rsidP="009D5C3F">
      <w:pPr>
        <w:rPr>
          <w:b/>
        </w:rPr>
      </w:pPr>
    </w:p>
    <w:p w:rsidR="00032829" w:rsidRPr="009D5C3F" w:rsidRDefault="00032829" w:rsidP="009D5C3F">
      <w:pPr>
        <w:rPr>
          <w:b/>
        </w:rPr>
      </w:pPr>
    </w:p>
    <w:p w:rsidR="00DA780F" w:rsidRDefault="00DA780F" w:rsidP="002269F4">
      <w:pPr>
        <w:pStyle w:val="TITRE100"/>
      </w:pPr>
    </w:p>
    <w:p w:rsidR="00DA780F" w:rsidRDefault="00DA780F" w:rsidP="002269F4">
      <w:pPr>
        <w:pStyle w:val="TITRE100"/>
      </w:pPr>
    </w:p>
    <w:p w:rsidR="002269F4" w:rsidRDefault="002269F4" w:rsidP="002269F4">
      <w:pPr>
        <w:pStyle w:val="TITRE100"/>
      </w:pPr>
      <w:bookmarkStart w:id="27" w:name="_Toc148692588"/>
      <w:r w:rsidRPr="00BB4943">
        <w:lastRenderedPageBreak/>
        <w:t xml:space="preserve">ARTICLE </w:t>
      </w:r>
      <w:r>
        <w:t>3</w:t>
      </w:r>
      <w:r w:rsidRPr="00BB4943">
        <w:t xml:space="preserve"> </w:t>
      </w:r>
      <w:r>
        <w:t>– DUREE DU MARCHE – DEMARRAGE DES PRESTATIONS</w:t>
      </w:r>
      <w:bookmarkEnd w:id="27"/>
    </w:p>
    <w:p w:rsidR="002269F4" w:rsidRDefault="002269F4" w:rsidP="002269F4">
      <w:pPr>
        <w:pStyle w:val="Titre2"/>
      </w:pPr>
      <w:bookmarkStart w:id="28" w:name="_Toc148692589"/>
      <w:r>
        <w:t>3.1 Durée</w:t>
      </w:r>
      <w:bookmarkEnd w:id="28"/>
    </w:p>
    <w:p w:rsidR="002269F4" w:rsidRDefault="002269F4" w:rsidP="002269F4">
      <w:pPr>
        <w:rPr>
          <w:rFonts w:cs="Arial"/>
          <w:b/>
          <w:szCs w:val="18"/>
        </w:rPr>
      </w:pPr>
      <w:bookmarkStart w:id="29" w:name="_Hlk164261273"/>
      <w:r w:rsidRPr="00ED0009">
        <w:rPr>
          <w:bCs/>
          <w:szCs w:val="18"/>
        </w:rPr>
        <w:t>Il s’agit d’un</w:t>
      </w:r>
      <w:r w:rsidRPr="00ED0009">
        <w:rPr>
          <w:b/>
          <w:bCs/>
          <w:szCs w:val="18"/>
        </w:rPr>
        <w:t xml:space="preserve"> </w:t>
      </w:r>
      <w:r>
        <w:rPr>
          <w:rFonts w:cs="Arial"/>
          <w:b/>
          <w:szCs w:val="18"/>
        </w:rPr>
        <w:t xml:space="preserve">accord cadre </w:t>
      </w:r>
      <w:bookmarkStart w:id="30" w:name="_Hlk164261630"/>
      <w:bookmarkStart w:id="31" w:name="_Hlk164261655"/>
      <w:bookmarkStart w:id="32" w:name="_GoBack"/>
      <w:r>
        <w:rPr>
          <w:rFonts w:cs="Arial"/>
          <w:b/>
          <w:szCs w:val="18"/>
        </w:rPr>
        <w:t>d’une durée de 1 an reconductible tacitement 3 fois, soit d’une durée maximum de 4 ans.</w:t>
      </w:r>
      <w:bookmarkEnd w:id="31"/>
      <w:bookmarkEnd w:id="32"/>
    </w:p>
    <w:p w:rsidR="002269F4" w:rsidRDefault="002269F4" w:rsidP="002269F4">
      <w:pPr>
        <w:tabs>
          <w:tab w:val="left" w:pos="1560"/>
        </w:tabs>
        <w:spacing w:before="100" w:beforeAutospacing="1" w:after="100" w:afterAutospacing="1"/>
        <w:contextualSpacing/>
        <w:rPr>
          <w:rFonts w:cs="Arial"/>
          <w:szCs w:val="18"/>
        </w:rPr>
      </w:pPr>
      <w:r>
        <w:rPr>
          <w:rFonts w:cs="Arial"/>
          <w:szCs w:val="18"/>
        </w:rPr>
        <w:t>Il</w:t>
      </w:r>
      <w:r w:rsidRPr="00ED0009">
        <w:rPr>
          <w:rFonts w:cs="Arial"/>
          <w:szCs w:val="18"/>
        </w:rPr>
        <w:t xml:space="preserve"> prend effet à la date de réception de sa notification par le titulaire et prend fin après achèvement des travaux et achèvement de la période de garantie de parfait achèvement.</w:t>
      </w:r>
    </w:p>
    <w:bookmarkEnd w:id="29"/>
    <w:bookmarkEnd w:id="30"/>
    <w:p w:rsidR="002269F4" w:rsidRPr="00F01B06" w:rsidRDefault="002269F4" w:rsidP="002269F4">
      <w:pPr>
        <w:tabs>
          <w:tab w:val="left" w:pos="1560"/>
        </w:tabs>
        <w:spacing w:before="100" w:beforeAutospacing="1" w:after="100" w:afterAutospacing="1"/>
        <w:contextualSpacing/>
        <w:rPr>
          <w:rFonts w:cs="Arial"/>
          <w:sz w:val="10"/>
          <w:szCs w:val="10"/>
        </w:rPr>
      </w:pPr>
    </w:p>
    <w:p w:rsidR="002269F4" w:rsidRPr="005633AA" w:rsidRDefault="002269F4" w:rsidP="002269F4">
      <w:pPr>
        <w:tabs>
          <w:tab w:val="left" w:pos="1560"/>
        </w:tabs>
        <w:spacing w:before="100" w:beforeAutospacing="1" w:after="100" w:afterAutospacing="1"/>
        <w:contextualSpacing/>
        <w:rPr>
          <w:rFonts w:cs="Arial"/>
          <w:b/>
          <w:szCs w:val="18"/>
        </w:rPr>
      </w:pPr>
      <w:r>
        <w:rPr>
          <w:rFonts w:cs="Arial"/>
          <w:szCs w:val="18"/>
        </w:rPr>
        <w:t xml:space="preserve">Le maître d’ouvrage peut toutefois décider de ne pas renouveler l’accord-cadre. </w:t>
      </w:r>
      <w:r w:rsidRPr="00AD644A">
        <w:rPr>
          <w:rFonts w:cs="Arial"/>
          <w:szCs w:val="18"/>
        </w:rPr>
        <w:t>En cas de non-reconduction</w:t>
      </w:r>
      <w:r>
        <w:rPr>
          <w:rFonts w:cs="Arial"/>
          <w:szCs w:val="18"/>
        </w:rPr>
        <w:t>, le maître d’ouvrage notifie son intention par écrit au minimum 2 mois avant l’échéance de la période en cours.</w:t>
      </w:r>
    </w:p>
    <w:p w:rsidR="002269F4" w:rsidRDefault="002269F4" w:rsidP="005633AA">
      <w:pPr>
        <w:pStyle w:val="Titre2"/>
        <w:spacing w:after="0"/>
      </w:pPr>
      <w:bookmarkStart w:id="33" w:name="_Toc148692590"/>
      <w:r>
        <w:t>3.2 Durée des marchés subséquents</w:t>
      </w:r>
      <w:bookmarkEnd w:id="33"/>
    </w:p>
    <w:p w:rsidR="002269F4" w:rsidRPr="008F7693" w:rsidRDefault="002269F4" w:rsidP="005633AA">
      <w:pPr>
        <w:widowControl w:val="0"/>
        <w:tabs>
          <w:tab w:val="left" w:pos="1560"/>
        </w:tabs>
        <w:spacing w:after="100" w:afterAutospacing="1"/>
        <w:contextualSpacing/>
        <w:rPr>
          <w:rFonts w:cs="Arial"/>
          <w:szCs w:val="18"/>
        </w:rPr>
      </w:pPr>
      <w:r w:rsidRPr="008F7693">
        <w:rPr>
          <w:rFonts w:cs="Arial"/>
          <w:szCs w:val="18"/>
        </w:rPr>
        <w:t xml:space="preserve">La durée du marché subséquent </w:t>
      </w:r>
      <w:r w:rsidRPr="008F7693">
        <w:rPr>
          <w:rFonts w:cs="Arial"/>
          <w:b/>
          <w:szCs w:val="18"/>
        </w:rPr>
        <w:t>est précisée</w:t>
      </w:r>
      <w:r w:rsidRPr="008F7693">
        <w:rPr>
          <w:rFonts w:cs="Arial"/>
          <w:szCs w:val="18"/>
        </w:rPr>
        <w:t xml:space="preserve"> par le Pouvoir Adjudicateur </w:t>
      </w:r>
      <w:r w:rsidRPr="008F7693">
        <w:rPr>
          <w:rFonts w:cs="Arial"/>
          <w:b/>
          <w:szCs w:val="18"/>
        </w:rPr>
        <w:t xml:space="preserve">dans le cahier des clauses particulières valant acte d’engagement (CCP valant AE) du </w:t>
      </w:r>
      <w:r>
        <w:rPr>
          <w:rFonts w:cs="Arial"/>
          <w:b/>
          <w:szCs w:val="18"/>
        </w:rPr>
        <w:t>marché subséquent</w:t>
      </w:r>
      <w:r w:rsidRPr="008F7693">
        <w:rPr>
          <w:rFonts w:cs="Arial"/>
          <w:b/>
          <w:szCs w:val="18"/>
        </w:rPr>
        <w:t xml:space="preserve"> concerné</w:t>
      </w:r>
      <w:r w:rsidRPr="008F7693">
        <w:rPr>
          <w:rFonts w:cs="Arial"/>
          <w:szCs w:val="18"/>
        </w:rPr>
        <w:t>.</w:t>
      </w:r>
    </w:p>
    <w:p w:rsidR="002269F4" w:rsidRPr="008F7693" w:rsidRDefault="002269F4" w:rsidP="002269F4">
      <w:pPr>
        <w:widowControl w:val="0"/>
        <w:tabs>
          <w:tab w:val="left" w:pos="1560"/>
        </w:tabs>
        <w:spacing w:before="100" w:beforeAutospacing="1" w:after="100" w:afterAutospacing="1"/>
        <w:contextualSpacing/>
        <w:rPr>
          <w:rFonts w:cs="Arial"/>
          <w:szCs w:val="18"/>
        </w:rPr>
      </w:pPr>
      <w:r w:rsidRPr="008F7693">
        <w:rPr>
          <w:rFonts w:cs="Arial"/>
          <w:iCs/>
          <w:szCs w:val="18"/>
          <w:lang w:val="x-none"/>
        </w:rPr>
        <w:t>La conclusion des marchés passés sur le fondement du présent accord</w:t>
      </w:r>
      <w:r w:rsidRPr="008F7693">
        <w:rPr>
          <w:rFonts w:cs="Arial"/>
          <w:iCs/>
          <w:szCs w:val="18"/>
        </w:rPr>
        <w:t>-</w:t>
      </w:r>
      <w:r w:rsidRPr="008F7693">
        <w:rPr>
          <w:rFonts w:cs="Arial"/>
          <w:iCs/>
          <w:szCs w:val="18"/>
          <w:lang w:val="x-none"/>
        </w:rPr>
        <w:t>cadre ne peut se faire que pendant la durée de validité dudit accord</w:t>
      </w:r>
      <w:r w:rsidRPr="008F7693">
        <w:rPr>
          <w:rFonts w:cs="Arial"/>
          <w:iCs/>
          <w:szCs w:val="18"/>
        </w:rPr>
        <w:t>-</w:t>
      </w:r>
      <w:r w:rsidRPr="008F7693">
        <w:rPr>
          <w:rFonts w:cs="Arial"/>
          <w:iCs/>
          <w:szCs w:val="18"/>
          <w:lang w:val="x-none"/>
        </w:rPr>
        <w:t>cadre.</w:t>
      </w:r>
      <w:r w:rsidRPr="008F7693">
        <w:rPr>
          <w:rFonts w:cs="Arial"/>
          <w:szCs w:val="18"/>
        </w:rPr>
        <w:t xml:space="preserve"> </w:t>
      </w:r>
    </w:p>
    <w:p w:rsidR="005633AA" w:rsidRDefault="002269F4" w:rsidP="002269F4">
      <w:pPr>
        <w:widowControl w:val="0"/>
        <w:tabs>
          <w:tab w:val="left" w:pos="1560"/>
        </w:tabs>
        <w:spacing w:before="100" w:beforeAutospacing="1" w:after="100" w:afterAutospacing="1"/>
        <w:contextualSpacing/>
        <w:rPr>
          <w:rFonts w:cs="Arial"/>
          <w:b/>
          <w:szCs w:val="18"/>
        </w:rPr>
      </w:pPr>
      <w:r w:rsidRPr="008F7693">
        <w:rPr>
          <w:rFonts w:cs="Arial"/>
          <w:szCs w:val="18"/>
        </w:rPr>
        <w:t xml:space="preserve">L’exécution stricto sensu des prestations d’un </w:t>
      </w:r>
      <w:bookmarkStart w:id="34" w:name="_Hlk119576768"/>
      <w:r>
        <w:rPr>
          <w:rFonts w:cs="Arial"/>
          <w:szCs w:val="18"/>
        </w:rPr>
        <w:t>marché subséquent</w:t>
      </w:r>
      <w:r w:rsidRPr="008F7693">
        <w:rPr>
          <w:rFonts w:cs="Arial"/>
          <w:szCs w:val="18"/>
        </w:rPr>
        <w:t xml:space="preserve"> </w:t>
      </w:r>
      <w:bookmarkEnd w:id="34"/>
      <w:r w:rsidRPr="008F7693">
        <w:rPr>
          <w:rFonts w:cs="Arial"/>
          <w:szCs w:val="18"/>
        </w:rPr>
        <w:t>peut s’achever au-delà de la période de validité de l’accord-cadre</w:t>
      </w:r>
      <w:r w:rsidRPr="008F7693">
        <w:rPr>
          <w:rFonts w:cs="Arial"/>
          <w:b/>
          <w:szCs w:val="18"/>
        </w:rPr>
        <w:t xml:space="preserve"> </w:t>
      </w:r>
      <w:r w:rsidRPr="008F7693">
        <w:rPr>
          <w:rFonts w:cs="Arial"/>
          <w:szCs w:val="18"/>
        </w:rPr>
        <w:t xml:space="preserve">dans la limite des délais contractuels figurant dans le </w:t>
      </w:r>
      <w:r w:rsidRPr="00034538">
        <w:rPr>
          <w:rFonts w:cs="Arial"/>
          <w:szCs w:val="18"/>
        </w:rPr>
        <w:t>marché subséquent</w:t>
      </w:r>
      <w:r w:rsidRPr="008F7693">
        <w:rPr>
          <w:rFonts w:cs="Arial"/>
          <w:szCs w:val="18"/>
        </w:rPr>
        <w:t xml:space="preserve"> (délai d’exécution, de réception, etc.)</w:t>
      </w:r>
      <w:r w:rsidRPr="008F7693">
        <w:rPr>
          <w:rFonts w:cs="Arial"/>
          <w:b/>
          <w:szCs w:val="18"/>
        </w:rPr>
        <w:t>.</w:t>
      </w:r>
    </w:p>
    <w:p w:rsidR="005633AA" w:rsidRDefault="005633AA" w:rsidP="005633AA">
      <w:pPr>
        <w:pStyle w:val="Titre2"/>
      </w:pPr>
      <w:bookmarkStart w:id="35" w:name="_Toc148692591"/>
      <w:r>
        <w:t>3.3 Démarrage des prestations</w:t>
      </w:r>
      <w:bookmarkEnd w:id="35"/>
    </w:p>
    <w:p w:rsidR="005633AA" w:rsidRPr="0038330F" w:rsidRDefault="005633AA" w:rsidP="005633AA">
      <w:pPr>
        <w:spacing w:after="120"/>
        <w:rPr>
          <w:color w:val="000000"/>
          <w:sz w:val="19"/>
          <w:szCs w:val="22"/>
        </w:rPr>
      </w:pPr>
      <w:r w:rsidRPr="0038330F">
        <w:rPr>
          <w:color w:val="000000"/>
        </w:rPr>
        <w:t>A l’initiative du maître d’ouvrage et au plus tard dans les 15 jours suivant le démarrage de la mission, le maître d’ouvrage et le maître d’œuvre peuvent se réunir afin notamment :</w:t>
      </w:r>
    </w:p>
    <w:p w:rsidR="005633AA" w:rsidRPr="0038330F" w:rsidRDefault="005633AA" w:rsidP="008F2B6A">
      <w:pPr>
        <w:numPr>
          <w:ilvl w:val="0"/>
          <w:numId w:val="20"/>
        </w:numPr>
        <w:rPr>
          <w:color w:val="000000"/>
          <w:szCs w:val="19"/>
        </w:rPr>
      </w:pPr>
      <w:r w:rsidRPr="0038330F">
        <w:rPr>
          <w:rFonts w:cs="Arial"/>
          <w:color w:val="000000"/>
          <w:szCs w:val="19"/>
        </w:rPr>
        <w:t xml:space="preserve">d’identifier les interlocuteurs en charge de l’opération ; </w:t>
      </w:r>
    </w:p>
    <w:p w:rsidR="005633AA" w:rsidRPr="0038330F" w:rsidRDefault="005633AA" w:rsidP="008F2B6A">
      <w:pPr>
        <w:numPr>
          <w:ilvl w:val="0"/>
          <w:numId w:val="20"/>
        </w:numPr>
        <w:rPr>
          <w:color w:val="000000"/>
          <w:szCs w:val="19"/>
        </w:rPr>
      </w:pPr>
      <w:r w:rsidRPr="0038330F">
        <w:rPr>
          <w:rFonts w:cs="Arial"/>
          <w:color w:val="000000"/>
          <w:szCs w:val="19"/>
        </w:rPr>
        <w:t>de définir les modalités d’échanges, notamment dématérialisés, avec la maîtrise d’ouvrage ;</w:t>
      </w:r>
    </w:p>
    <w:p w:rsidR="005633AA" w:rsidRPr="0038330F" w:rsidRDefault="005633AA" w:rsidP="008F2B6A">
      <w:pPr>
        <w:numPr>
          <w:ilvl w:val="0"/>
          <w:numId w:val="20"/>
        </w:numPr>
        <w:rPr>
          <w:color w:val="000000"/>
          <w:szCs w:val="19"/>
        </w:rPr>
      </w:pPr>
      <w:r w:rsidRPr="0038330F">
        <w:rPr>
          <w:rFonts w:cs="Arial"/>
          <w:color w:val="000000"/>
          <w:szCs w:val="19"/>
        </w:rPr>
        <w:t>de définir les modalités de travail collaboratif avec les autres prestataires désignés par le maître d’ouvrage ;</w:t>
      </w:r>
    </w:p>
    <w:p w:rsidR="005633AA" w:rsidRPr="0038330F" w:rsidRDefault="005633AA" w:rsidP="008F2B6A">
      <w:pPr>
        <w:numPr>
          <w:ilvl w:val="0"/>
          <w:numId w:val="20"/>
        </w:numPr>
        <w:rPr>
          <w:color w:val="000000"/>
          <w:szCs w:val="19"/>
        </w:rPr>
      </w:pPr>
      <w:r w:rsidRPr="0038330F">
        <w:rPr>
          <w:rFonts w:cs="Arial"/>
          <w:color w:val="000000"/>
          <w:szCs w:val="19"/>
        </w:rPr>
        <w:t>de préciser les principes opérationnels de la gestion documentaire de l’opération ;</w:t>
      </w:r>
    </w:p>
    <w:p w:rsidR="005633AA" w:rsidRPr="0038330F" w:rsidRDefault="005633AA" w:rsidP="008F2B6A">
      <w:pPr>
        <w:numPr>
          <w:ilvl w:val="0"/>
          <w:numId w:val="20"/>
        </w:numPr>
        <w:rPr>
          <w:color w:val="000000"/>
          <w:szCs w:val="19"/>
        </w:rPr>
      </w:pPr>
      <w:r w:rsidRPr="0038330F">
        <w:rPr>
          <w:rFonts w:cs="Arial"/>
          <w:color w:val="000000"/>
          <w:szCs w:val="19"/>
        </w:rPr>
        <w:t xml:space="preserve">de compléter la base documentaire nécessaire au démarrage des études du maître d’œuvre ; </w:t>
      </w:r>
    </w:p>
    <w:p w:rsidR="005633AA" w:rsidRPr="0038330F" w:rsidRDefault="005633AA" w:rsidP="008F2B6A">
      <w:pPr>
        <w:numPr>
          <w:ilvl w:val="0"/>
          <w:numId w:val="20"/>
        </w:numPr>
        <w:rPr>
          <w:color w:val="000000"/>
          <w:szCs w:val="19"/>
        </w:rPr>
      </w:pPr>
      <w:r w:rsidRPr="0038330F">
        <w:rPr>
          <w:rFonts w:cs="Arial"/>
          <w:color w:val="000000"/>
          <w:szCs w:val="19"/>
        </w:rPr>
        <w:t xml:space="preserve">de présenter les spécificités du circuit de paiement du maître d’ouvrage et d’arrêter les modalités pratiques de facturation des prestations. </w:t>
      </w:r>
    </w:p>
    <w:p w:rsidR="005633AA" w:rsidRPr="0038330F" w:rsidRDefault="005633AA" w:rsidP="005633AA">
      <w:pPr>
        <w:ind w:left="720"/>
        <w:rPr>
          <w:color w:val="000000"/>
          <w:szCs w:val="19"/>
        </w:rPr>
      </w:pPr>
    </w:p>
    <w:p w:rsidR="005633AA" w:rsidRPr="00993AF4" w:rsidRDefault="005633AA" w:rsidP="005633AA">
      <w:pPr>
        <w:rPr>
          <w:color w:val="000000"/>
          <w:szCs w:val="19"/>
        </w:rPr>
      </w:pPr>
      <w:r w:rsidRPr="0038330F">
        <w:rPr>
          <w:color w:val="000000"/>
          <w:szCs w:val="19"/>
        </w:rPr>
        <w:t>La réunion de lancement fait l’objet d’un compte-rendu selon les délais définis à l’article 8.1 du présent C.C.A.P.</w:t>
      </w:r>
      <w:r w:rsidRPr="00993AF4">
        <w:rPr>
          <w:color w:val="000000"/>
          <w:szCs w:val="19"/>
        </w:rPr>
        <w:t xml:space="preserve"> </w:t>
      </w:r>
    </w:p>
    <w:p w:rsidR="005633AA" w:rsidRPr="008F7693" w:rsidRDefault="005633AA" w:rsidP="002269F4">
      <w:pPr>
        <w:widowControl w:val="0"/>
        <w:tabs>
          <w:tab w:val="left" w:pos="1560"/>
        </w:tabs>
        <w:spacing w:before="100" w:beforeAutospacing="1" w:after="100" w:afterAutospacing="1"/>
        <w:contextualSpacing/>
        <w:rPr>
          <w:rFonts w:cs="Arial"/>
          <w:b/>
          <w:szCs w:val="18"/>
        </w:rPr>
      </w:pPr>
    </w:p>
    <w:p w:rsidR="002269F4" w:rsidRPr="002269F4" w:rsidRDefault="002269F4" w:rsidP="002269F4"/>
    <w:p w:rsidR="008D550C" w:rsidRPr="00BB4943" w:rsidRDefault="002269F4" w:rsidP="006A3768">
      <w:pPr>
        <w:pStyle w:val="TITRE100"/>
      </w:pPr>
      <w:bookmarkStart w:id="36" w:name="_Toc148692592"/>
      <w:r>
        <w:t>Article 4 -</w:t>
      </w:r>
      <w:r w:rsidR="004C72EB" w:rsidRPr="00BB4943">
        <w:t xml:space="preserve"> PIE</w:t>
      </w:r>
      <w:r w:rsidR="008D550C" w:rsidRPr="00BB4943">
        <w:t>CES CONSTITUTIVES D</w:t>
      </w:r>
      <w:bookmarkEnd w:id="21"/>
      <w:bookmarkEnd w:id="22"/>
      <w:bookmarkEnd w:id="23"/>
      <w:r w:rsidR="007828DE">
        <w:t>E l’ACCORD CADRE</w:t>
      </w:r>
      <w:r w:rsidR="00E43C51">
        <w:t xml:space="preserve"> ET DES MARCHES SUBSEQUENTS</w:t>
      </w:r>
      <w:bookmarkEnd w:id="36"/>
    </w:p>
    <w:p w:rsidR="00BB4943" w:rsidRPr="0014646F" w:rsidRDefault="00BB4943" w:rsidP="00F108DC">
      <w:pPr>
        <w:pStyle w:val="Txttitre1"/>
        <w:spacing w:before="0" w:line="240" w:lineRule="auto"/>
        <w:ind w:left="0"/>
        <w:rPr>
          <w:rFonts w:ascii="Verdana" w:hAnsi="Verdana" w:cs="Arial"/>
          <w:sz w:val="16"/>
          <w:szCs w:val="16"/>
        </w:rPr>
      </w:pPr>
    </w:p>
    <w:p w:rsidR="008D550C" w:rsidRDefault="00F8102B" w:rsidP="00F108DC">
      <w:pPr>
        <w:pStyle w:val="Txttitre1"/>
        <w:spacing w:before="0" w:line="240" w:lineRule="auto"/>
        <w:ind w:left="0"/>
        <w:rPr>
          <w:rFonts w:ascii="Verdana" w:hAnsi="Verdana" w:cs="Arial"/>
          <w:sz w:val="18"/>
          <w:szCs w:val="18"/>
        </w:rPr>
      </w:pPr>
      <w:r w:rsidRPr="00790C64">
        <w:rPr>
          <w:rFonts w:ascii="Verdana" w:hAnsi="Verdana" w:cs="Arial"/>
          <w:sz w:val="18"/>
          <w:szCs w:val="18"/>
        </w:rPr>
        <w:t xml:space="preserve">Par dérogation à l’article 4.1 du CCAG </w:t>
      </w:r>
      <w:r w:rsidR="0017084F">
        <w:rPr>
          <w:rFonts w:ascii="Verdana" w:hAnsi="Verdana" w:cs="Arial"/>
          <w:sz w:val="18"/>
          <w:szCs w:val="18"/>
        </w:rPr>
        <w:t>MOE</w:t>
      </w:r>
      <w:r w:rsidRPr="00790C64">
        <w:rPr>
          <w:rFonts w:ascii="Verdana" w:hAnsi="Verdana" w:cs="Arial"/>
          <w:sz w:val="18"/>
          <w:szCs w:val="18"/>
        </w:rPr>
        <w:t>, l</w:t>
      </w:r>
      <w:r w:rsidR="008D550C" w:rsidRPr="00790C64">
        <w:rPr>
          <w:rFonts w:ascii="Verdana" w:hAnsi="Verdana" w:cs="Arial"/>
          <w:sz w:val="18"/>
          <w:szCs w:val="18"/>
        </w:rPr>
        <w:t>es pièces constitutives du marché sont, par ordre de priorité décroissante :</w:t>
      </w:r>
    </w:p>
    <w:p w:rsidR="00775681" w:rsidRDefault="00775681" w:rsidP="00F108DC">
      <w:pPr>
        <w:pStyle w:val="Txttitre1"/>
        <w:spacing w:before="0" w:line="240" w:lineRule="auto"/>
        <w:ind w:left="0"/>
        <w:rPr>
          <w:rFonts w:ascii="Verdana" w:hAnsi="Verdana" w:cs="Arial"/>
          <w:sz w:val="18"/>
          <w:szCs w:val="18"/>
        </w:rPr>
      </w:pPr>
    </w:p>
    <w:p w:rsidR="00A81FC5" w:rsidRPr="00790C64" w:rsidRDefault="00775681" w:rsidP="00F108DC">
      <w:pPr>
        <w:pStyle w:val="Txttitre1"/>
        <w:spacing w:before="0" w:line="240" w:lineRule="auto"/>
        <w:ind w:left="0"/>
        <w:rPr>
          <w:rFonts w:ascii="Verdana" w:hAnsi="Verdana" w:cs="Arial"/>
          <w:sz w:val="18"/>
          <w:szCs w:val="18"/>
        </w:rPr>
      </w:pPr>
      <w:r w:rsidRPr="00004270">
        <w:rPr>
          <w:rFonts w:ascii="Verdana" w:hAnsi="Verdana" w:cs="Arial"/>
          <w:sz w:val="18"/>
          <w:szCs w:val="18"/>
          <w:u w:val="single"/>
        </w:rPr>
        <w:t>Pour l’Accord-Cadre</w:t>
      </w:r>
      <w:r>
        <w:rPr>
          <w:rFonts w:ascii="Verdana" w:hAnsi="Verdana" w:cs="Arial"/>
          <w:sz w:val="18"/>
          <w:szCs w:val="18"/>
        </w:rPr>
        <w:t> :</w:t>
      </w:r>
    </w:p>
    <w:p w:rsidR="00A81FC5" w:rsidRDefault="00A81FC5" w:rsidP="008F2B6A">
      <w:pPr>
        <w:pStyle w:val="Txttitre2"/>
        <w:numPr>
          <w:ilvl w:val="0"/>
          <w:numId w:val="2"/>
        </w:numPr>
        <w:spacing w:before="0" w:line="240" w:lineRule="auto"/>
        <w:ind w:left="851"/>
        <w:rPr>
          <w:rFonts w:ascii="Verdana" w:hAnsi="Verdana" w:cs="Arial"/>
          <w:szCs w:val="18"/>
        </w:rPr>
      </w:pPr>
      <w:r>
        <w:rPr>
          <w:rFonts w:ascii="Verdana" w:hAnsi="Verdana" w:cs="Arial"/>
          <w:szCs w:val="18"/>
        </w:rPr>
        <w:t>L’acte d’engagement</w:t>
      </w:r>
      <w:r w:rsidR="002269F4">
        <w:rPr>
          <w:rFonts w:ascii="Verdana" w:hAnsi="Verdana" w:cs="Arial"/>
          <w:szCs w:val="18"/>
        </w:rPr>
        <w:t xml:space="preserve"> </w:t>
      </w:r>
      <w:r w:rsidR="00BC49D6">
        <w:rPr>
          <w:rFonts w:ascii="Verdana" w:hAnsi="Verdana" w:cs="Arial"/>
          <w:szCs w:val="18"/>
        </w:rPr>
        <w:t>et ses annexes</w:t>
      </w:r>
    </w:p>
    <w:p w:rsidR="00AD644A" w:rsidRPr="002269F4" w:rsidRDefault="008D550C" w:rsidP="008F2B6A">
      <w:pPr>
        <w:pStyle w:val="Txttitre2"/>
        <w:numPr>
          <w:ilvl w:val="0"/>
          <w:numId w:val="2"/>
        </w:numPr>
        <w:spacing w:before="0" w:line="240" w:lineRule="auto"/>
        <w:ind w:left="851"/>
        <w:rPr>
          <w:rFonts w:ascii="Verdana" w:hAnsi="Verdana" w:cs="Arial"/>
          <w:szCs w:val="18"/>
        </w:rPr>
      </w:pPr>
      <w:r w:rsidRPr="008843F6">
        <w:rPr>
          <w:rFonts w:ascii="Verdana" w:hAnsi="Verdana" w:cs="Arial"/>
          <w:szCs w:val="18"/>
        </w:rPr>
        <w:t>Le présent Cahier des Clauses Administra</w:t>
      </w:r>
      <w:r w:rsidR="0014646F" w:rsidRPr="008843F6">
        <w:rPr>
          <w:rFonts w:ascii="Verdana" w:hAnsi="Verdana" w:cs="Arial"/>
          <w:szCs w:val="18"/>
        </w:rPr>
        <w:t>tives Particulières (C.C.A.P.)</w:t>
      </w:r>
      <w:r w:rsidR="004E5D74" w:rsidRPr="008843F6">
        <w:rPr>
          <w:rFonts w:ascii="Verdana" w:hAnsi="Verdana" w:cs="Arial"/>
          <w:szCs w:val="18"/>
        </w:rPr>
        <w:t xml:space="preserve"> </w:t>
      </w:r>
    </w:p>
    <w:p w:rsidR="008D550C" w:rsidRPr="00AA19E6" w:rsidRDefault="008D550C" w:rsidP="008F2B6A">
      <w:pPr>
        <w:pStyle w:val="Txttitre2"/>
        <w:numPr>
          <w:ilvl w:val="0"/>
          <w:numId w:val="2"/>
        </w:numPr>
        <w:spacing w:before="0" w:line="240" w:lineRule="auto"/>
        <w:ind w:left="851"/>
        <w:rPr>
          <w:rFonts w:ascii="Verdana" w:hAnsi="Verdana" w:cs="Arial"/>
          <w:szCs w:val="18"/>
        </w:rPr>
      </w:pPr>
      <w:r w:rsidRPr="00AA19E6">
        <w:rPr>
          <w:rFonts w:ascii="Verdana" w:hAnsi="Verdana" w:cs="Arial"/>
          <w:szCs w:val="18"/>
        </w:rPr>
        <w:t>Le Cahier</w:t>
      </w:r>
      <w:r w:rsidR="003504FB" w:rsidRPr="00AA19E6">
        <w:rPr>
          <w:rFonts w:ascii="Verdana" w:hAnsi="Verdana" w:cs="Arial"/>
          <w:szCs w:val="18"/>
        </w:rPr>
        <w:t xml:space="preserve"> des Clauses Technique</w:t>
      </w:r>
      <w:r w:rsidR="00204888">
        <w:rPr>
          <w:rFonts w:ascii="Verdana" w:hAnsi="Verdana" w:cs="Arial"/>
          <w:szCs w:val="18"/>
        </w:rPr>
        <w:t>s</w:t>
      </w:r>
      <w:r w:rsidR="003504FB" w:rsidRPr="00AA19E6">
        <w:rPr>
          <w:rFonts w:ascii="Verdana" w:hAnsi="Verdana" w:cs="Arial"/>
          <w:szCs w:val="18"/>
        </w:rPr>
        <w:t xml:space="preserve"> Particulière</w:t>
      </w:r>
      <w:r w:rsidR="00204888">
        <w:rPr>
          <w:rFonts w:ascii="Verdana" w:hAnsi="Verdana" w:cs="Arial"/>
          <w:szCs w:val="18"/>
        </w:rPr>
        <w:t>s</w:t>
      </w:r>
      <w:r w:rsidR="0014646F" w:rsidRPr="00AA19E6">
        <w:rPr>
          <w:rFonts w:ascii="Verdana" w:hAnsi="Verdana" w:cs="Arial"/>
          <w:szCs w:val="18"/>
        </w:rPr>
        <w:t xml:space="preserve"> (C.C.T.P.)</w:t>
      </w:r>
      <w:r w:rsidR="00F74337">
        <w:rPr>
          <w:rFonts w:ascii="Verdana" w:hAnsi="Verdana" w:cs="Arial"/>
          <w:szCs w:val="18"/>
        </w:rPr>
        <w:t xml:space="preserve"> </w:t>
      </w:r>
    </w:p>
    <w:p w:rsidR="0077229B" w:rsidRDefault="0077229B" w:rsidP="008F2B6A">
      <w:pPr>
        <w:pStyle w:val="Txttitre2"/>
        <w:numPr>
          <w:ilvl w:val="0"/>
          <w:numId w:val="2"/>
        </w:numPr>
        <w:spacing w:before="0" w:line="240" w:lineRule="auto"/>
        <w:ind w:left="851"/>
        <w:rPr>
          <w:rFonts w:ascii="Verdana" w:hAnsi="Verdana" w:cs="Arial"/>
          <w:szCs w:val="18"/>
        </w:rPr>
      </w:pPr>
      <w:bookmarkStart w:id="37" w:name="_Toc374413856"/>
      <w:r w:rsidRPr="00AA19E6">
        <w:rPr>
          <w:rFonts w:ascii="Verdana" w:hAnsi="Verdana" w:cs="Arial"/>
          <w:szCs w:val="18"/>
        </w:rPr>
        <w:t xml:space="preserve">Le </w:t>
      </w:r>
      <w:bookmarkStart w:id="38" w:name="_Hlk164257985"/>
      <w:r w:rsidRPr="00AA19E6">
        <w:rPr>
          <w:rFonts w:ascii="Verdana" w:hAnsi="Verdana" w:cs="Arial"/>
          <w:szCs w:val="18"/>
        </w:rPr>
        <w:t>programme</w:t>
      </w:r>
      <w:r w:rsidR="00602F7F">
        <w:rPr>
          <w:rFonts w:ascii="Verdana" w:hAnsi="Verdana" w:cs="Arial"/>
          <w:szCs w:val="18"/>
        </w:rPr>
        <w:t xml:space="preserve"> fonctionnel et technique</w:t>
      </w:r>
      <w:r w:rsidRPr="00AA19E6">
        <w:rPr>
          <w:rFonts w:ascii="Verdana" w:hAnsi="Verdana" w:cs="Arial"/>
          <w:szCs w:val="18"/>
        </w:rPr>
        <w:t xml:space="preserve"> du </w:t>
      </w:r>
      <w:r w:rsidRPr="00986FE8">
        <w:rPr>
          <w:rFonts w:ascii="Verdana" w:hAnsi="Verdana" w:cs="Arial"/>
          <w:szCs w:val="18"/>
        </w:rPr>
        <w:t>projet</w:t>
      </w:r>
      <w:r w:rsidR="00EA2103" w:rsidRPr="00986FE8">
        <w:rPr>
          <w:rFonts w:ascii="Verdana" w:hAnsi="Verdana" w:cs="Arial"/>
          <w:szCs w:val="18"/>
        </w:rPr>
        <w:t xml:space="preserve"> et s</w:t>
      </w:r>
      <w:r w:rsidR="00775681">
        <w:rPr>
          <w:rFonts w:ascii="Verdana" w:hAnsi="Verdana" w:cs="Arial"/>
          <w:szCs w:val="18"/>
        </w:rPr>
        <w:t>es</w:t>
      </w:r>
      <w:r w:rsidR="00EA2103" w:rsidRPr="00986FE8">
        <w:rPr>
          <w:rFonts w:ascii="Verdana" w:hAnsi="Verdana" w:cs="Arial"/>
          <w:szCs w:val="18"/>
        </w:rPr>
        <w:t xml:space="preserve"> annexe</w:t>
      </w:r>
      <w:r w:rsidR="00775681">
        <w:rPr>
          <w:rFonts w:ascii="Verdana" w:hAnsi="Verdana" w:cs="Arial"/>
          <w:szCs w:val="18"/>
        </w:rPr>
        <w:t>s</w:t>
      </w:r>
      <w:r w:rsidR="00F74337">
        <w:rPr>
          <w:rFonts w:ascii="Verdana" w:hAnsi="Verdana" w:cs="Arial"/>
          <w:szCs w:val="18"/>
        </w:rPr>
        <w:t xml:space="preserve"> pour l’AC</w:t>
      </w:r>
    </w:p>
    <w:p w:rsidR="00807011" w:rsidRPr="00AD644A" w:rsidRDefault="00807011" w:rsidP="008F2B6A">
      <w:pPr>
        <w:pStyle w:val="Txttitre2"/>
        <w:numPr>
          <w:ilvl w:val="0"/>
          <w:numId w:val="2"/>
        </w:numPr>
        <w:spacing w:before="0" w:line="240" w:lineRule="auto"/>
        <w:ind w:left="851"/>
        <w:rPr>
          <w:rFonts w:ascii="Verdana" w:eastAsia="Times New Roman" w:hAnsi="Verdana" w:cs="Arial"/>
          <w:szCs w:val="18"/>
        </w:rPr>
      </w:pPr>
      <w:bookmarkStart w:id="39" w:name="_Hlk164258100"/>
      <w:bookmarkEnd w:id="38"/>
      <w:r w:rsidRPr="00AD644A">
        <w:rPr>
          <w:rFonts w:ascii="Verdana" w:eastAsia="Times New Roman" w:hAnsi="Verdana" w:cs="Arial"/>
          <w:szCs w:val="18"/>
        </w:rPr>
        <w:t>Le cahier des clauses administratives générales applicables aux marchés publics de</w:t>
      </w:r>
      <w:r>
        <w:rPr>
          <w:rFonts w:ascii="Verdana" w:hAnsi="Verdana" w:cs="Arial"/>
          <w:szCs w:val="18"/>
        </w:rPr>
        <w:t xml:space="preserve"> </w:t>
      </w:r>
      <w:r w:rsidRPr="00AD644A">
        <w:rPr>
          <w:rFonts w:ascii="Verdana" w:eastAsia="Times New Roman" w:hAnsi="Verdana" w:cs="Arial"/>
          <w:szCs w:val="18"/>
        </w:rPr>
        <w:t>maitrise d’œuvre</w:t>
      </w:r>
      <w:r w:rsidR="006B01F1">
        <w:rPr>
          <w:rFonts w:ascii="Verdana" w:hAnsi="Verdana" w:cs="Arial"/>
          <w:szCs w:val="18"/>
        </w:rPr>
        <w:t xml:space="preserve"> (CCAG MOE)</w:t>
      </w:r>
      <w:r w:rsidRPr="00AD644A">
        <w:rPr>
          <w:rFonts w:ascii="Verdana" w:eastAsia="Times New Roman" w:hAnsi="Verdana" w:cs="Arial"/>
          <w:szCs w:val="18"/>
        </w:rPr>
        <w:t>, approuvé par l'arrêté du 30 mars 2021</w:t>
      </w:r>
    </w:p>
    <w:p w:rsidR="006B01F1" w:rsidRDefault="00807011" w:rsidP="008F2B6A">
      <w:pPr>
        <w:pStyle w:val="Txttitre2"/>
        <w:numPr>
          <w:ilvl w:val="0"/>
          <w:numId w:val="2"/>
        </w:numPr>
        <w:spacing w:before="0" w:line="240" w:lineRule="auto"/>
        <w:ind w:left="851"/>
        <w:rPr>
          <w:rFonts w:ascii="Verdana" w:hAnsi="Verdana" w:cs="Arial"/>
          <w:szCs w:val="18"/>
        </w:rPr>
      </w:pPr>
      <w:r w:rsidRPr="00AD644A">
        <w:rPr>
          <w:rFonts w:ascii="Verdana" w:eastAsia="Times New Roman" w:hAnsi="Verdana" w:cs="Arial"/>
          <w:szCs w:val="18"/>
        </w:rPr>
        <w:t>Les clauses du cahier des clauses administratives générales applicables aux marchés publics de travaux (CCAG Travaux) approuvé par l’arrêté du 30 mars 2021, précisant le rôle du maître d'œuvre dans le cadre de l'exécution des marchés de travaux,</w:t>
      </w:r>
    </w:p>
    <w:p w:rsidR="00807011" w:rsidRPr="00AD644A" w:rsidRDefault="006B01F1" w:rsidP="008F2B6A">
      <w:pPr>
        <w:pStyle w:val="Txttitre2"/>
        <w:numPr>
          <w:ilvl w:val="0"/>
          <w:numId w:val="2"/>
        </w:numPr>
        <w:spacing w:before="0" w:line="240" w:lineRule="auto"/>
        <w:ind w:left="851"/>
        <w:rPr>
          <w:rFonts w:ascii="Verdana" w:eastAsia="Times New Roman" w:hAnsi="Verdana" w:cs="Arial"/>
          <w:szCs w:val="18"/>
        </w:rPr>
      </w:pPr>
      <w:r>
        <w:rPr>
          <w:rFonts w:ascii="Verdana" w:hAnsi="Verdana" w:cs="Arial"/>
          <w:szCs w:val="18"/>
        </w:rPr>
        <w:t xml:space="preserve">Le </w:t>
      </w:r>
      <w:r w:rsidR="00602F7F">
        <w:rPr>
          <w:rFonts w:ascii="Verdana" w:hAnsi="Verdana" w:cs="Arial"/>
          <w:szCs w:val="18"/>
        </w:rPr>
        <w:t>dossier d’offre</w:t>
      </w:r>
      <w:r>
        <w:rPr>
          <w:rFonts w:ascii="Verdana" w:hAnsi="Verdana" w:cs="Arial"/>
          <w:szCs w:val="18"/>
        </w:rPr>
        <w:t xml:space="preserve"> remis par le titulaire</w:t>
      </w:r>
      <w:r w:rsidR="005633AA">
        <w:rPr>
          <w:rFonts w:ascii="Verdana" w:hAnsi="Verdana" w:cs="Arial"/>
          <w:szCs w:val="18"/>
        </w:rPr>
        <w:t xml:space="preserve"> au titre de l’accord-cadre</w:t>
      </w:r>
    </w:p>
    <w:bookmarkEnd w:id="39"/>
    <w:p w:rsidR="00807011" w:rsidRPr="00AD644A" w:rsidRDefault="00807011" w:rsidP="008F2B6A">
      <w:pPr>
        <w:pStyle w:val="Txttitre2"/>
        <w:numPr>
          <w:ilvl w:val="0"/>
          <w:numId w:val="2"/>
        </w:numPr>
        <w:spacing w:before="0" w:line="240" w:lineRule="auto"/>
        <w:ind w:left="851"/>
        <w:rPr>
          <w:rFonts w:ascii="Verdana" w:eastAsia="Times New Roman" w:hAnsi="Verdana" w:cs="Arial"/>
          <w:szCs w:val="18"/>
        </w:rPr>
      </w:pPr>
      <w:r w:rsidRPr="00AD644A">
        <w:rPr>
          <w:rFonts w:ascii="Verdana" w:eastAsia="Times New Roman" w:hAnsi="Verdana" w:cs="Arial"/>
          <w:szCs w:val="18"/>
        </w:rPr>
        <w:t>Les actes spéciaux de sous-traitance et leurs avenants, postérieurs à la notification du marché ;</w:t>
      </w:r>
    </w:p>
    <w:p w:rsidR="00807011" w:rsidRPr="00986FE8" w:rsidRDefault="00807011" w:rsidP="00AD644A">
      <w:pPr>
        <w:pStyle w:val="Txttitre2"/>
        <w:spacing w:before="0" w:line="240" w:lineRule="auto"/>
        <w:ind w:left="0"/>
        <w:rPr>
          <w:rFonts w:ascii="Verdana" w:hAnsi="Verdana" w:cs="Arial"/>
          <w:szCs w:val="18"/>
        </w:rPr>
      </w:pPr>
    </w:p>
    <w:bookmarkEnd w:id="37"/>
    <w:p w:rsidR="0014646F" w:rsidRPr="00004270" w:rsidRDefault="00775681" w:rsidP="00F108DC">
      <w:pPr>
        <w:pStyle w:val="Txttitre2"/>
        <w:spacing w:before="0" w:line="240" w:lineRule="auto"/>
        <w:ind w:left="0"/>
        <w:rPr>
          <w:rFonts w:ascii="Verdana" w:hAnsi="Verdana" w:cs="Arial"/>
          <w:szCs w:val="18"/>
          <w:u w:val="single"/>
        </w:rPr>
      </w:pPr>
      <w:r w:rsidRPr="00004270">
        <w:rPr>
          <w:rFonts w:ascii="Verdana" w:hAnsi="Verdana" w:cs="Arial"/>
          <w:szCs w:val="18"/>
          <w:u w:val="single"/>
        </w:rPr>
        <w:t>Pour le</w:t>
      </w:r>
      <w:r w:rsidR="00F87C96" w:rsidRPr="00004270">
        <w:rPr>
          <w:rFonts w:ascii="Verdana" w:hAnsi="Verdana" w:cs="Arial"/>
          <w:szCs w:val="18"/>
          <w:u w:val="single"/>
        </w:rPr>
        <w:t>s</w:t>
      </w:r>
      <w:r w:rsidRPr="00004270">
        <w:rPr>
          <w:rFonts w:ascii="Verdana" w:hAnsi="Verdana" w:cs="Arial"/>
          <w:szCs w:val="18"/>
          <w:u w:val="single"/>
        </w:rPr>
        <w:t xml:space="preserve"> MS :</w:t>
      </w:r>
    </w:p>
    <w:p w:rsidR="00775681" w:rsidRDefault="00775681" w:rsidP="008F2B6A">
      <w:pPr>
        <w:pStyle w:val="Txttitre2"/>
        <w:numPr>
          <w:ilvl w:val="0"/>
          <w:numId w:val="2"/>
        </w:numPr>
        <w:spacing w:before="0" w:line="240" w:lineRule="auto"/>
        <w:ind w:left="851"/>
        <w:rPr>
          <w:rFonts w:ascii="Verdana" w:hAnsi="Verdana" w:cs="Arial"/>
          <w:szCs w:val="18"/>
        </w:rPr>
      </w:pPr>
      <w:r w:rsidRPr="008843F6">
        <w:rPr>
          <w:rFonts w:ascii="Verdana" w:hAnsi="Verdana" w:cs="Arial"/>
          <w:szCs w:val="18"/>
        </w:rPr>
        <w:t>L</w:t>
      </w:r>
      <w:r>
        <w:rPr>
          <w:rFonts w:ascii="Verdana" w:hAnsi="Verdana" w:cs="Arial"/>
          <w:szCs w:val="18"/>
        </w:rPr>
        <w:t xml:space="preserve">e CCP valant AE avec </w:t>
      </w:r>
      <w:r w:rsidRPr="00986FE8">
        <w:rPr>
          <w:rFonts w:ascii="Verdana" w:hAnsi="Verdana" w:cs="Arial"/>
          <w:szCs w:val="18"/>
        </w:rPr>
        <w:t>DPGF</w:t>
      </w:r>
      <w:r w:rsidRPr="008843F6">
        <w:rPr>
          <w:rFonts w:ascii="Verdana" w:hAnsi="Verdana" w:cs="Arial"/>
          <w:color w:val="C00000"/>
          <w:szCs w:val="18"/>
        </w:rPr>
        <w:t xml:space="preserve"> </w:t>
      </w:r>
      <w:r w:rsidRPr="00F74337">
        <w:rPr>
          <w:rFonts w:ascii="Verdana" w:hAnsi="Verdana" w:cs="Arial"/>
          <w:szCs w:val="18"/>
        </w:rPr>
        <w:t>et répartition par cotraitant</w:t>
      </w:r>
      <w:r>
        <w:rPr>
          <w:rFonts w:ascii="Verdana" w:hAnsi="Verdana" w:cs="Arial"/>
          <w:szCs w:val="18"/>
        </w:rPr>
        <w:t xml:space="preserve"> pour le MS</w:t>
      </w:r>
    </w:p>
    <w:p w:rsidR="00775681" w:rsidRDefault="00775681" w:rsidP="00F108DC">
      <w:pPr>
        <w:pStyle w:val="Txttitre2"/>
        <w:spacing w:before="0" w:line="240" w:lineRule="auto"/>
        <w:ind w:left="0"/>
        <w:rPr>
          <w:rFonts w:ascii="Verdana" w:hAnsi="Verdana" w:cs="Arial"/>
          <w:sz w:val="16"/>
          <w:szCs w:val="16"/>
        </w:rPr>
      </w:pPr>
    </w:p>
    <w:p w:rsidR="00BF29B2" w:rsidRDefault="00BF29B2" w:rsidP="00BF29B2">
      <w:pPr>
        <w:tabs>
          <w:tab w:val="left" w:pos="1560"/>
        </w:tabs>
        <w:rPr>
          <w:rFonts w:cs="Arial"/>
          <w:szCs w:val="18"/>
        </w:rPr>
      </w:pPr>
      <w:r w:rsidRPr="00AA19E6">
        <w:rPr>
          <w:rFonts w:cs="Arial"/>
          <w:szCs w:val="18"/>
        </w:rPr>
        <w:t xml:space="preserve">En cas de contradiction ou de divergence entre les documents contractuels, ils prévalent dans l’ordre dans lequel ils sont énumérés ci-dessus. </w:t>
      </w:r>
      <w:r w:rsidR="00807011">
        <w:rPr>
          <w:rFonts w:cs="Arial"/>
          <w:szCs w:val="18"/>
        </w:rPr>
        <w:t>Les documents des marchés subséquents prévalent sur ceux d</w:t>
      </w:r>
      <w:r w:rsidR="003A5499">
        <w:rPr>
          <w:rFonts w:cs="Arial"/>
          <w:szCs w:val="18"/>
        </w:rPr>
        <w:t>e</w:t>
      </w:r>
      <w:r w:rsidR="00807011">
        <w:rPr>
          <w:rFonts w:cs="Arial"/>
          <w:szCs w:val="18"/>
        </w:rPr>
        <w:t xml:space="preserve"> l’accord-cadre. </w:t>
      </w:r>
      <w:r w:rsidRPr="00AA19E6">
        <w:rPr>
          <w:rFonts w:cs="Arial"/>
          <w:szCs w:val="18"/>
        </w:rPr>
        <w:t xml:space="preserve">Seul l’exemplaire original de ces documents conservé dans les locaux </w:t>
      </w:r>
      <w:r w:rsidR="00EA417D">
        <w:rPr>
          <w:rFonts w:cs="Arial"/>
          <w:szCs w:val="18"/>
        </w:rPr>
        <w:t>de l’acheteur</w:t>
      </w:r>
      <w:r w:rsidRPr="00AA19E6">
        <w:rPr>
          <w:rFonts w:cs="Arial"/>
          <w:szCs w:val="18"/>
        </w:rPr>
        <w:t>, fait foi.</w:t>
      </w:r>
    </w:p>
    <w:p w:rsidR="00253797" w:rsidRDefault="00253797" w:rsidP="00BF29B2">
      <w:pPr>
        <w:tabs>
          <w:tab w:val="left" w:pos="1560"/>
        </w:tabs>
        <w:rPr>
          <w:rFonts w:cs="Arial"/>
          <w:szCs w:val="18"/>
        </w:rPr>
      </w:pPr>
    </w:p>
    <w:p w:rsidR="00F01B06" w:rsidRDefault="00F01B06" w:rsidP="00BF29B2">
      <w:pPr>
        <w:tabs>
          <w:tab w:val="left" w:pos="1560"/>
        </w:tabs>
        <w:rPr>
          <w:rFonts w:cs="Arial"/>
          <w:szCs w:val="18"/>
        </w:rPr>
      </w:pPr>
    </w:p>
    <w:p w:rsidR="00C9053E" w:rsidRDefault="00C9053E" w:rsidP="00BF29B2">
      <w:pPr>
        <w:tabs>
          <w:tab w:val="left" w:pos="1560"/>
        </w:tabs>
        <w:rPr>
          <w:rFonts w:cs="Arial"/>
          <w:szCs w:val="18"/>
        </w:rPr>
      </w:pPr>
    </w:p>
    <w:p w:rsidR="0014646F" w:rsidRPr="00253797" w:rsidRDefault="0082340C" w:rsidP="00253797">
      <w:pPr>
        <w:pStyle w:val="TITRE100"/>
      </w:pPr>
      <w:bookmarkStart w:id="40" w:name="_Toc374413858"/>
      <w:bookmarkStart w:id="41" w:name="_Toc465261429"/>
      <w:bookmarkStart w:id="42" w:name="_Toc133586768"/>
      <w:bookmarkStart w:id="43" w:name="_Toc148692593"/>
      <w:r w:rsidRPr="0014646F">
        <w:t xml:space="preserve">ARTICLE </w:t>
      </w:r>
      <w:r w:rsidR="005633AA">
        <w:t>5</w:t>
      </w:r>
      <w:r w:rsidR="00CA2873" w:rsidRPr="0014646F">
        <w:t xml:space="preserve"> – </w:t>
      </w:r>
      <w:bookmarkEnd w:id="40"/>
      <w:r w:rsidR="00CA2873" w:rsidRPr="0014646F">
        <w:t>MAITRISE D’OUVRAGE ET INTERVENANTS LIES</w:t>
      </w:r>
      <w:bookmarkEnd w:id="41"/>
      <w:bookmarkEnd w:id="42"/>
      <w:bookmarkEnd w:id="43"/>
    </w:p>
    <w:p w:rsidR="00CA2873" w:rsidRDefault="005633AA" w:rsidP="006A3768">
      <w:pPr>
        <w:pStyle w:val="Titre2"/>
      </w:pPr>
      <w:bookmarkStart w:id="44" w:name="_Toc465261430"/>
      <w:bookmarkStart w:id="45" w:name="_Toc133586030"/>
      <w:bookmarkStart w:id="46" w:name="_Toc133586526"/>
      <w:bookmarkStart w:id="47" w:name="_Toc133586605"/>
      <w:bookmarkStart w:id="48" w:name="_Toc133586769"/>
      <w:bookmarkStart w:id="49" w:name="_Toc148692594"/>
      <w:r>
        <w:lastRenderedPageBreak/>
        <w:t>5</w:t>
      </w:r>
      <w:r w:rsidR="00CA2873" w:rsidRPr="006A3768">
        <w:t>.1 Maître d’ouvrage</w:t>
      </w:r>
      <w:bookmarkEnd w:id="44"/>
      <w:bookmarkEnd w:id="45"/>
      <w:bookmarkEnd w:id="46"/>
      <w:bookmarkEnd w:id="47"/>
      <w:bookmarkEnd w:id="48"/>
      <w:bookmarkEnd w:id="49"/>
    </w:p>
    <w:p w:rsidR="00CA2873" w:rsidRPr="002F7873" w:rsidRDefault="00CA2873" w:rsidP="00F108DC">
      <w:pPr>
        <w:pStyle w:val="Txttitre2"/>
        <w:spacing w:before="0" w:line="240" w:lineRule="auto"/>
        <w:ind w:left="0"/>
        <w:rPr>
          <w:rFonts w:ascii="Verdana" w:hAnsi="Verdana" w:cs="Arial"/>
          <w:szCs w:val="18"/>
        </w:rPr>
      </w:pPr>
      <w:r w:rsidRPr="00790C64">
        <w:rPr>
          <w:rFonts w:ascii="Verdana" w:hAnsi="Verdana" w:cs="Arial"/>
          <w:szCs w:val="18"/>
        </w:rPr>
        <w:t xml:space="preserve">Le maître de l’ouvrage est l’Université </w:t>
      </w:r>
      <w:r w:rsidR="0014646F">
        <w:rPr>
          <w:rFonts w:ascii="Verdana" w:hAnsi="Verdana" w:cs="Arial"/>
          <w:szCs w:val="18"/>
        </w:rPr>
        <w:t>d’AIX-</w:t>
      </w:r>
      <w:r w:rsidR="005849C2" w:rsidRPr="00790C64">
        <w:rPr>
          <w:rFonts w:ascii="Verdana" w:hAnsi="Verdana" w:cs="Arial"/>
          <w:szCs w:val="18"/>
        </w:rPr>
        <w:t>MARSEILLE</w:t>
      </w:r>
      <w:r w:rsidR="0014646F">
        <w:rPr>
          <w:rFonts w:ascii="Verdana" w:hAnsi="Verdana" w:cs="Arial"/>
          <w:szCs w:val="18"/>
        </w:rPr>
        <w:t>, E</w:t>
      </w:r>
      <w:r w:rsidR="00186DAD" w:rsidRPr="00790C64">
        <w:rPr>
          <w:rFonts w:ascii="Verdana" w:hAnsi="Verdana" w:cs="Arial"/>
          <w:szCs w:val="18"/>
        </w:rPr>
        <w:t>tablissement public de l’E</w:t>
      </w:r>
      <w:r w:rsidRPr="00790C64">
        <w:rPr>
          <w:rFonts w:ascii="Verdana" w:hAnsi="Verdana" w:cs="Arial"/>
          <w:szCs w:val="18"/>
        </w:rPr>
        <w:t xml:space="preserve">tat à caractère scientifique, culturel et professionnel, représentée par son Président, Représentant Légal </w:t>
      </w:r>
      <w:r w:rsidR="00EA417D">
        <w:rPr>
          <w:rFonts w:ascii="Verdana" w:hAnsi="Verdana" w:cs="Arial"/>
          <w:szCs w:val="18"/>
        </w:rPr>
        <w:t>de l’acheteur</w:t>
      </w:r>
      <w:r w:rsidR="0014646F" w:rsidRPr="002F7873">
        <w:rPr>
          <w:rFonts w:ascii="Verdana" w:hAnsi="Verdana" w:cs="Arial"/>
          <w:szCs w:val="18"/>
        </w:rPr>
        <w:t>.</w:t>
      </w:r>
    </w:p>
    <w:p w:rsidR="0014646F" w:rsidRPr="00E926EB" w:rsidRDefault="0014646F" w:rsidP="00F108DC">
      <w:pPr>
        <w:pStyle w:val="Txttitre2"/>
        <w:spacing w:before="0" w:line="240" w:lineRule="auto"/>
        <w:ind w:left="0"/>
        <w:rPr>
          <w:rFonts w:ascii="Verdana" w:hAnsi="Verdana" w:cs="Arial"/>
          <w:sz w:val="10"/>
          <w:szCs w:val="10"/>
        </w:rPr>
      </w:pPr>
    </w:p>
    <w:p w:rsidR="001D5007" w:rsidRPr="002F7873" w:rsidRDefault="00CA2873" w:rsidP="00F108DC">
      <w:pPr>
        <w:pStyle w:val="Txttitre2"/>
        <w:spacing w:before="0" w:line="240" w:lineRule="auto"/>
        <w:ind w:left="0"/>
        <w:rPr>
          <w:rFonts w:ascii="Verdana" w:hAnsi="Verdana" w:cs="Arial"/>
          <w:szCs w:val="18"/>
        </w:rPr>
      </w:pPr>
      <w:r w:rsidRPr="002F7873">
        <w:rPr>
          <w:rFonts w:ascii="Verdana" w:hAnsi="Verdana" w:cs="Arial"/>
          <w:szCs w:val="18"/>
        </w:rPr>
        <w:t xml:space="preserve">Le projet sera piloté par </w:t>
      </w:r>
      <w:r w:rsidR="000438F0" w:rsidRPr="002F7873">
        <w:rPr>
          <w:rFonts w:ascii="Verdana" w:hAnsi="Verdana" w:cs="Arial"/>
          <w:szCs w:val="18"/>
        </w:rPr>
        <w:t xml:space="preserve">la Direction </w:t>
      </w:r>
      <w:r w:rsidR="009F63DD" w:rsidRPr="002F7873">
        <w:rPr>
          <w:rFonts w:ascii="Verdana" w:hAnsi="Verdana" w:cs="Arial"/>
          <w:szCs w:val="18"/>
        </w:rPr>
        <w:t>du</w:t>
      </w:r>
      <w:r w:rsidR="005849C2" w:rsidRPr="002F7873">
        <w:rPr>
          <w:rFonts w:ascii="Verdana" w:hAnsi="Verdana" w:cs="Arial"/>
          <w:szCs w:val="18"/>
        </w:rPr>
        <w:t xml:space="preserve"> Développement </w:t>
      </w:r>
      <w:r w:rsidR="009F63DD" w:rsidRPr="002F7873">
        <w:rPr>
          <w:rFonts w:ascii="Verdana" w:hAnsi="Verdana" w:cs="Arial"/>
          <w:szCs w:val="18"/>
        </w:rPr>
        <w:t xml:space="preserve">du Patrimoine Immobilier </w:t>
      </w:r>
      <w:r w:rsidR="0014646F" w:rsidRPr="002F7873">
        <w:rPr>
          <w:rFonts w:ascii="Verdana" w:hAnsi="Verdana" w:cs="Arial"/>
          <w:szCs w:val="18"/>
        </w:rPr>
        <w:t>de l’Université d’AIX-</w:t>
      </w:r>
      <w:r w:rsidR="005849C2" w:rsidRPr="002F7873">
        <w:rPr>
          <w:rFonts w:ascii="Verdana" w:hAnsi="Verdana" w:cs="Arial"/>
          <w:szCs w:val="18"/>
        </w:rPr>
        <w:t>MARSEILLE</w:t>
      </w:r>
      <w:r w:rsidR="00585342" w:rsidRPr="002F7873">
        <w:rPr>
          <w:rFonts w:ascii="Verdana" w:hAnsi="Verdana" w:cs="Arial"/>
          <w:szCs w:val="18"/>
        </w:rPr>
        <w:t>.</w:t>
      </w:r>
    </w:p>
    <w:p w:rsidR="0014646F" w:rsidRPr="00E926EB" w:rsidRDefault="0014646F" w:rsidP="00F108DC">
      <w:pPr>
        <w:pStyle w:val="Txttitre2"/>
        <w:spacing w:before="0" w:line="240" w:lineRule="auto"/>
        <w:ind w:left="0"/>
        <w:rPr>
          <w:rFonts w:ascii="Verdana" w:hAnsi="Verdana" w:cs="Arial"/>
          <w:sz w:val="10"/>
          <w:szCs w:val="10"/>
        </w:rPr>
      </w:pPr>
    </w:p>
    <w:p w:rsidR="0014646F" w:rsidRPr="005633AA" w:rsidRDefault="001D5007" w:rsidP="00F108DC">
      <w:pPr>
        <w:pStyle w:val="Txttitre2"/>
        <w:spacing w:before="0" w:line="240" w:lineRule="auto"/>
        <w:ind w:left="0"/>
        <w:rPr>
          <w:rFonts w:ascii="Verdana" w:hAnsi="Verdana" w:cs="Arial"/>
          <w:szCs w:val="18"/>
        </w:rPr>
      </w:pPr>
      <w:r w:rsidRPr="002F7873">
        <w:rPr>
          <w:rFonts w:ascii="Verdana" w:hAnsi="Verdana" w:cs="Arial"/>
          <w:szCs w:val="18"/>
        </w:rPr>
        <w:t xml:space="preserve">Le maître d’ouvrage </w:t>
      </w:r>
      <w:r w:rsidR="00DE747F" w:rsidRPr="002F7873">
        <w:rPr>
          <w:rFonts w:ascii="Verdana" w:hAnsi="Verdana" w:cs="Arial"/>
          <w:szCs w:val="18"/>
        </w:rPr>
        <w:t xml:space="preserve">pourra être </w:t>
      </w:r>
      <w:r w:rsidRPr="002F7873">
        <w:rPr>
          <w:rFonts w:ascii="Verdana" w:hAnsi="Verdana" w:cs="Arial"/>
          <w:szCs w:val="18"/>
        </w:rPr>
        <w:t>a</w:t>
      </w:r>
      <w:r w:rsidR="000B6C5C" w:rsidRPr="002F7873">
        <w:rPr>
          <w:rFonts w:ascii="Verdana" w:hAnsi="Verdana" w:cs="Arial"/>
          <w:szCs w:val="18"/>
        </w:rPr>
        <w:t>ccompagné</w:t>
      </w:r>
      <w:r w:rsidRPr="002F7873">
        <w:rPr>
          <w:rFonts w:ascii="Verdana" w:hAnsi="Verdana" w:cs="Arial"/>
          <w:szCs w:val="18"/>
        </w:rPr>
        <w:t xml:space="preserve"> par un assistant à maîtrise d’ouvrage (AMO) </w:t>
      </w:r>
      <w:r w:rsidR="00DE747F" w:rsidRPr="002F7873">
        <w:rPr>
          <w:rFonts w:ascii="Verdana" w:hAnsi="Verdana" w:cs="Arial"/>
          <w:szCs w:val="18"/>
        </w:rPr>
        <w:t>pour chaque phase de l’opération.</w:t>
      </w:r>
    </w:p>
    <w:p w:rsidR="00CA2873" w:rsidRDefault="005633AA" w:rsidP="006A3768">
      <w:pPr>
        <w:pStyle w:val="Titre2"/>
      </w:pPr>
      <w:bookmarkStart w:id="50" w:name="_Toc148502515"/>
      <w:bookmarkStart w:id="51" w:name="_Toc465261431"/>
      <w:bookmarkStart w:id="52" w:name="_Toc133586031"/>
      <w:bookmarkStart w:id="53" w:name="_Toc133586527"/>
      <w:bookmarkStart w:id="54" w:name="_Toc133586606"/>
      <w:bookmarkStart w:id="55" w:name="_Toc133586770"/>
      <w:bookmarkStart w:id="56" w:name="_Toc148692595"/>
      <w:r>
        <w:t>5</w:t>
      </w:r>
      <w:r w:rsidR="00CA2873" w:rsidRPr="006A3768">
        <w:t>.2 Les utilisateurs</w:t>
      </w:r>
      <w:bookmarkEnd w:id="50"/>
      <w:bookmarkEnd w:id="51"/>
      <w:bookmarkEnd w:id="52"/>
      <w:bookmarkEnd w:id="53"/>
      <w:bookmarkEnd w:id="54"/>
      <w:bookmarkEnd w:id="55"/>
      <w:bookmarkEnd w:id="56"/>
    </w:p>
    <w:p w:rsidR="0014646F" w:rsidRDefault="00CA2873" w:rsidP="00F108DC">
      <w:pPr>
        <w:pStyle w:val="Txttitre2"/>
        <w:spacing w:before="0" w:line="240" w:lineRule="auto"/>
        <w:ind w:left="0"/>
        <w:rPr>
          <w:rFonts w:ascii="Verdana" w:hAnsi="Verdana" w:cs="Arial"/>
          <w:szCs w:val="18"/>
        </w:rPr>
      </w:pPr>
      <w:r w:rsidRPr="002F7873">
        <w:rPr>
          <w:rFonts w:ascii="Verdana" w:hAnsi="Verdana" w:cs="Arial"/>
          <w:szCs w:val="18"/>
        </w:rPr>
        <w:t>Les utilisateurs pourront être invités à participer à certaines réunions de travail.</w:t>
      </w:r>
    </w:p>
    <w:p w:rsidR="00E62CB3" w:rsidRDefault="005633AA" w:rsidP="006A3768">
      <w:pPr>
        <w:pStyle w:val="Titre2"/>
      </w:pPr>
      <w:bookmarkStart w:id="57" w:name="_Toc379797362"/>
      <w:bookmarkStart w:id="58" w:name="_Toc513608629"/>
      <w:bookmarkStart w:id="59" w:name="_Toc163534283"/>
      <w:bookmarkStart w:id="60" w:name="_Toc465261433"/>
      <w:bookmarkStart w:id="61" w:name="_Toc133586033"/>
      <w:bookmarkStart w:id="62" w:name="_Toc133586529"/>
      <w:bookmarkStart w:id="63" w:name="_Toc133586608"/>
      <w:bookmarkStart w:id="64" w:name="_Toc133586772"/>
      <w:bookmarkStart w:id="65" w:name="_Toc148692596"/>
      <w:r>
        <w:t>5</w:t>
      </w:r>
      <w:r w:rsidR="00E62CB3" w:rsidRPr="006A3768">
        <w:t>.</w:t>
      </w:r>
      <w:r w:rsidR="00135559">
        <w:t>3</w:t>
      </w:r>
      <w:r w:rsidR="00E62CB3" w:rsidRPr="006A3768">
        <w:t xml:space="preserve"> Le contrôleur technique</w:t>
      </w:r>
      <w:bookmarkEnd w:id="57"/>
      <w:bookmarkEnd w:id="58"/>
      <w:bookmarkEnd w:id="59"/>
      <w:bookmarkEnd w:id="60"/>
      <w:bookmarkEnd w:id="61"/>
      <w:bookmarkEnd w:id="62"/>
      <w:bookmarkEnd w:id="63"/>
      <w:bookmarkEnd w:id="64"/>
      <w:bookmarkEnd w:id="65"/>
      <w:r w:rsidR="00CF19DD" w:rsidRPr="006A3768">
        <w:t xml:space="preserve"> </w:t>
      </w:r>
    </w:p>
    <w:p w:rsidR="00E62CB3" w:rsidRDefault="00E62CB3" w:rsidP="00C9053E">
      <w:pPr>
        <w:pStyle w:val="Txttitre2"/>
        <w:spacing w:before="0" w:line="240" w:lineRule="auto"/>
        <w:ind w:left="0"/>
        <w:rPr>
          <w:rFonts w:ascii="Verdana" w:hAnsi="Verdana" w:cs="Arial"/>
          <w:szCs w:val="18"/>
        </w:rPr>
      </w:pPr>
      <w:r w:rsidRPr="00790C64">
        <w:rPr>
          <w:rFonts w:ascii="Verdana" w:hAnsi="Verdana" w:cs="Arial"/>
          <w:szCs w:val="18"/>
        </w:rPr>
        <w:t>Le maître d’ouvrage </w:t>
      </w:r>
      <w:r w:rsidR="00C9053E">
        <w:rPr>
          <w:rFonts w:ascii="Verdana" w:hAnsi="Verdana" w:cs="Arial"/>
          <w:szCs w:val="18"/>
        </w:rPr>
        <w:t>e</w:t>
      </w:r>
      <w:r w:rsidR="00A85A53" w:rsidRPr="00790C64">
        <w:rPr>
          <w:rFonts w:ascii="Verdana" w:hAnsi="Verdana" w:cs="Arial"/>
          <w:szCs w:val="18"/>
        </w:rPr>
        <w:t>nvisage</w:t>
      </w:r>
      <w:r w:rsidRPr="00790C64">
        <w:rPr>
          <w:rFonts w:ascii="Verdana" w:hAnsi="Verdana" w:cs="Arial"/>
          <w:szCs w:val="18"/>
        </w:rPr>
        <w:t xml:space="preserve"> de confier (marché non signé)</w:t>
      </w:r>
      <w:r w:rsidR="00B447A7" w:rsidRPr="00790C64">
        <w:rPr>
          <w:rFonts w:ascii="Verdana" w:hAnsi="Verdana" w:cs="Arial"/>
          <w:szCs w:val="18"/>
        </w:rPr>
        <w:t xml:space="preserve"> </w:t>
      </w:r>
      <w:r w:rsidRPr="00790C64">
        <w:rPr>
          <w:rFonts w:ascii="Verdana" w:hAnsi="Verdana" w:cs="Arial"/>
          <w:szCs w:val="18"/>
        </w:rPr>
        <w:t>une mission de contrôle technique.</w:t>
      </w:r>
    </w:p>
    <w:p w:rsidR="006F23E2" w:rsidRPr="006F23E2" w:rsidRDefault="006F23E2" w:rsidP="00F108DC">
      <w:pPr>
        <w:pStyle w:val="Txttitre2"/>
        <w:spacing w:before="0" w:line="240" w:lineRule="auto"/>
        <w:ind w:left="1276"/>
        <w:rPr>
          <w:rFonts w:ascii="Verdana" w:hAnsi="Verdana" w:cs="Arial"/>
          <w:sz w:val="16"/>
          <w:szCs w:val="16"/>
        </w:rPr>
      </w:pPr>
    </w:p>
    <w:p w:rsidR="00E62CB3" w:rsidRPr="00790C64" w:rsidRDefault="00E62CB3" w:rsidP="00F108DC">
      <w:pPr>
        <w:pStyle w:val="Txttitre2"/>
        <w:spacing w:before="0" w:line="240" w:lineRule="auto"/>
        <w:ind w:left="0"/>
        <w:rPr>
          <w:rFonts w:ascii="Verdana" w:hAnsi="Verdana" w:cs="Arial"/>
          <w:color w:val="000000"/>
          <w:szCs w:val="18"/>
        </w:rPr>
      </w:pPr>
      <w:r w:rsidRPr="00790C64">
        <w:rPr>
          <w:rFonts w:ascii="Verdana" w:hAnsi="Verdana" w:cs="Arial"/>
          <w:color w:val="000000"/>
          <w:szCs w:val="18"/>
        </w:rPr>
        <w:t>La mission a pour objet l’intervention d’un contrôleur technique dans les conditions de l’article L111-23 du Code de la Construction et de l’Habitation reproduit ci-après :</w:t>
      </w:r>
    </w:p>
    <w:p w:rsidR="00E62CB3" w:rsidRPr="00790C64" w:rsidRDefault="00E62CB3" w:rsidP="00F01B06">
      <w:pPr>
        <w:pStyle w:val="Txttitre2"/>
        <w:spacing w:before="0" w:line="240" w:lineRule="auto"/>
        <w:ind w:left="0"/>
        <w:rPr>
          <w:rFonts w:ascii="Verdana" w:hAnsi="Verdana" w:cs="Arial"/>
          <w:i/>
          <w:color w:val="000000"/>
          <w:szCs w:val="18"/>
        </w:rPr>
      </w:pPr>
      <w:r w:rsidRPr="00790C64">
        <w:rPr>
          <w:rFonts w:ascii="Verdana" w:hAnsi="Verdana" w:cs="Arial"/>
          <w:i/>
          <w:color w:val="000000"/>
          <w:szCs w:val="18"/>
        </w:rPr>
        <w:t>« </w:t>
      </w:r>
      <w:r w:rsidR="006F23E2" w:rsidRPr="00790C64">
        <w:rPr>
          <w:rFonts w:ascii="Verdana" w:hAnsi="Verdana" w:cs="Arial"/>
          <w:i/>
          <w:color w:val="000000"/>
          <w:szCs w:val="18"/>
        </w:rPr>
        <w:t>Le</w:t>
      </w:r>
      <w:r w:rsidRPr="00790C64">
        <w:rPr>
          <w:rFonts w:ascii="Verdana" w:hAnsi="Verdana" w:cs="Arial"/>
          <w:i/>
          <w:color w:val="000000"/>
          <w:szCs w:val="18"/>
        </w:rPr>
        <w:t xml:space="preserve"> contrôleur technique a pour mission de contribuer à la prévention des différents aléas techniques susceptibles d’être rencontrés dans la réalisation des ouvrages.</w:t>
      </w:r>
    </w:p>
    <w:p w:rsidR="00E62CB3" w:rsidRDefault="00E62CB3" w:rsidP="00F01B06">
      <w:pPr>
        <w:pStyle w:val="Txttitre2"/>
        <w:spacing w:before="0" w:line="240" w:lineRule="auto"/>
        <w:ind w:left="0"/>
        <w:rPr>
          <w:rFonts w:ascii="Verdana" w:hAnsi="Verdana" w:cs="Arial"/>
          <w:i/>
          <w:color w:val="000000"/>
          <w:szCs w:val="18"/>
        </w:rPr>
      </w:pPr>
      <w:r w:rsidRPr="00790C64">
        <w:rPr>
          <w:rFonts w:ascii="Verdana" w:hAnsi="Verdana" w:cs="Arial"/>
          <w:i/>
          <w:color w:val="000000"/>
          <w:szCs w:val="18"/>
        </w:rPr>
        <w:t>Il intervient à la demande du maître de l’ouvrage et donne son avis à ce dernier sur les problèmes d’ordre technique</w:t>
      </w:r>
      <w:r w:rsidR="009254E2">
        <w:rPr>
          <w:rFonts w:ascii="Verdana" w:hAnsi="Verdana" w:cs="Arial"/>
          <w:i/>
          <w:color w:val="000000"/>
          <w:szCs w:val="18"/>
        </w:rPr>
        <w:t>, dans le cadre du contrat qui le lie à celui-ci.</w:t>
      </w:r>
      <w:r w:rsidRPr="00790C64">
        <w:rPr>
          <w:rFonts w:ascii="Verdana" w:hAnsi="Verdana" w:cs="Arial"/>
          <w:i/>
          <w:color w:val="000000"/>
          <w:szCs w:val="18"/>
        </w:rPr>
        <w:t xml:space="preserve"> Cet avis porte notamment sur les problèmes qui concernent la solidité de l’ouvrage et la sécurité des personnes ».</w:t>
      </w:r>
    </w:p>
    <w:p w:rsidR="00253797" w:rsidRDefault="00253797" w:rsidP="00F108DC">
      <w:pPr>
        <w:pStyle w:val="Txttitre2"/>
        <w:spacing w:before="0" w:line="240" w:lineRule="auto"/>
        <w:ind w:left="0"/>
        <w:rPr>
          <w:rFonts w:ascii="Verdana" w:hAnsi="Verdana" w:cs="Arial"/>
          <w:color w:val="000000"/>
          <w:szCs w:val="18"/>
        </w:rPr>
      </w:pPr>
    </w:p>
    <w:p w:rsidR="00E62CB3" w:rsidRDefault="00E62CB3" w:rsidP="00F108DC">
      <w:pPr>
        <w:pStyle w:val="Txttitre2"/>
        <w:spacing w:before="0" w:line="240" w:lineRule="auto"/>
        <w:ind w:left="0"/>
        <w:rPr>
          <w:rFonts w:ascii="Verdana" w:hAnsi="Verdana" w:cs="Arial"/>
          <w:color w:val="000000"/>
          <w:szCs w:val="18"/>
        </w:rPr>
      </w:pPr>
      <w:r w:rsidRPr="00790C64">
        <w:rPr>
          <w:rFonts w:ascii="Verdana" w:hAnsi="Verdana" w:cs="Arial"/>
          <w:color w:val="000000"/>
          <w:szCs w:val="18"/>
        </w:rPr>
        <w:t>Par référence au C.C.T.G. suivant décret n°99-443 du 28 </w:t>
      </w:r>
      <w:r w:rsidR="001A549F" w:rsidRPr="00790C64">
        <w:rPr>
          <w:rFonts w:ascii="Verdana" w:hAnsi="Verdana" w:cs="Arial"/>
          <w:color w:val="000000"/>
          <w:szCs w:val="18"/>
        </w:rPr>
        <w:t>mai 1999</w:t>
      </w:r>
      <w:r w:rsidR="009254E2">
        <w:rPr>
          <w:rFonts w:ascii="Verdana" w:hAnsi="Verdana" w:cs="Arial"/>
          <w:color w:val="000000"/>
          <w:szCs w:val="18"/>
        </w:rPr>
        <w:t xml:space="preserve"> </w:t>
      </w:r>
      <w:r w:rsidR="009254E2" w:rsidRPr="00790C64">
        <w:rPr>
          <w:rFonts w:ascii="Verdana" w:hAnsi="Verdana" w:cs="Arial"/>
          <w:color w:val="000000"/>
          <w:szCs w:val="18"/>
        </w:rPr>
        <w:t>(C.C.T.G. applicables aux marchés de contrôle technique)</w:t>
      </w:r>
      <w:r w:rsidR="001A549F" w:rsidRPr="00790C64">
        <w:rPr>
          <w:rFonts w:ascii="Verdana" w:hAnsi="Verdana" w:cs="Arial"/>
          <w:color w:val="000000"/>
          <w:szCs w:val="18"/>
        </w:rPr>
        <w:t xml:space="preserve"> et les annexes 1 et 2,</w:t>
      </w:r>
      <w:r w:rsidRPr="00790C64">
        <w:rPr>
          <w:rFonts w:ascii="Verdana" w:hAnsi="Verdana" w:cs="Arial"/>
          <w:color w:val="000000"/>
          <w:szCs w:val="18"/>
        </w:rPr>
        <w:t xml:space="preserve"> la mission </w:t>
      </w:r>
      <w:r w:rsidR="00ED7341" w:rsidRPr="00790C64">
        <w:rPr>
          <w:rFonts w:ascii="Verdana" w:hAnsi="Verdana" w:cs="Arial"/>
          <w:color w:val="000000"/>
          <w:szCs w:val="18"/>
        </w:rPr>
        <w:t>que le maître d’ouvrage envisage de confier au</w:t>
      </w:r>
      <w:r w:rsidRPr="00790C64">
        <w:rPr>
          <w:rFonts w:ascii="Verdana" w:hAnsi="Verdana" w:cs="Arial"/>
          <w:color w:val="000000"/>
          <w:szCs w:val="18"/>
        </w:rPr>
        <w:t xml:space="preserve"> contrôleur technique comprend :</w:t>
      </w:r>
    </w:p>
    <w:p w:rsidR="003A5499" w:rsidRPr="00790C64" w:rsidRDefault="003A5499" w:rsidP="00F108DC">
      <w:pPr>
        <w:pStyle w:val="Txttitre2"/>
        <w:spacing w:before="0" w:line="240" w:lineRule="auto"/>
        <w:ind w:left="0"/>
        <w:rPr>
          <w:rFonts w:ascii="Verdana" w:hAnsi="Verdana" w:cs="Arial"/>
          <w:color w:val="000000"/>
          <w:szCs w:val="18"/>
        </w:rPr>
      </w:pPr>
    </w:p>
    <w:p w:rsidR="00E97C53" w:rsidRPr="005633AA" w:rsidRDefault="00E97C53" w:rsidP="00E97C53">
      <w:pPr>
        <w:rPr>
          <w:rFonts w:cs="Arial"/>
          <w:szCs w:val="18"/>
        </w:rPr>
      </w:pPr>
      <w:r w:rsidRPr="005633AA">
        <w:rPr>
          <w:rFonts w:cs="Arial"/>
          <w:szCs w:val="18"/>
        </w:rPr>
        <w:t>Missions de base :</w:t>
      </w:r>
    </w:p>
    <w:bookmarkStart w:id="66" w:name="CaseACocher1"/>
    <w:p w:rsidR="00E97C53" w:rsidRPr="005633AA" w:rsidRDefault="00E97C53" w:rsidP="00E97C53">
      <w:pPr>
        <w:rPr>
          <w:rFonts w:cs="Arial"/>
          <w:color w:val="000000"/>
          <w:szCs w:val="18"/>
        </w:rPr>
      </w:pPr>
      <w:r w:rsidRPr="005633AA">
        <w:rPr>
          <w:rFonts w:cs="Arial"/>
          <w:szCs w:val="18"/>
        </w:rPr>
        <w:fldChar w:fldCharType="begin">
          <w:ffData>
            <w:name w:val="CaseACocher1"/>
            <w:enabled/>
            <w:calcOnExit w:val="0"/>
            <w:checkBox>
              <w:size w:val="20"/>
              <w:default w:val="1"/>
            </w:checkBox>
          </w:ffData>
        </w:fldChar>
      </w:r>
      <w:r w:rsidRPr="005633AA">
        <w:rPr>
          <w:rFonts w:cs="Arial"/>
          <w:szCs w:val="18"/>
        </w:rPr>
        <w:instrText xml:space="preserve"> FORMCHECKBOX </w:instrText>
      </w:r>
      <w:r w:rsidR="00DD1C9C">
        <w:rPr>
          <w:rFonts w:cs="Arial"/>
          <w:szCs w:val="18"/>
        </w:rPr>
      </w:r>
      <w:r w:rsidR="00DD1C9C">
        <w:rPr>
          <w:rFonts w:cs="Arial"/>
          <w:szCs w:val="18"/>
        </w:rPr>
        <w:fldChar w:fldCharType="separate"/>
      </w:r>
      <w:r w:rsidRPr="005633AA">
        <w:rPr>
          <w:rFonts w:cs="Arial"/>
          <w:szCs w:val="18"/>
        </w:rPr>
        <w:fldChar w:fldCharType="end"/>
      </w:r>
      <w:bookmarkEnd w:id="66"/>
      <w:r w:rsidRPr="005633AA">
        <w:rPr>
          <w:rFonts w:cs="Arial"/>
          <w:bCs/>
          <w:szCs w:val="18"/>
        </w:rPr>
        <w:t xml:space="preserve"> L, portant </w:t>
      </w:r>
      <w:r w:rsidRPr="005633AA">
        <w:rPr>
          <w:rFonts w:cs="Arial"/>
          <w:color w:val="000000"/>
          <w:szCs w:val="18"/>
        </w:rPr>
        <w:t>sur la solidité des ouvrages et les éléments d’équipements indissociables</w:t>
      </w:r>
    </w:p>
    <w:p w:rsidR="00E97C53" w:rsidRPr="005633AA" w:rsidRDefault="00E97C53" w:rsidP="00E97C53">
      <w:pPr>
        <w:rPr>
          <w:rFonts w:cs="Arial"/>
          <w:color w:val="000000"/>
          <w:szCs w:val="18"/>
        </w:rPr>
      </w:pPr>
      <w:r w:rsidRPr="005633AA">
        <w:rPr>
          <w:rFonts w:cs="Arial"/>
          <w:color w:val="000000"/>
          <w:szCs w:val="18"/>
        </w:rPr>
        <w:fldChar w:fldCharType="begin">
          <w:ffData>
            <w:name w:val=""/>
            <w:enabled/>
            <w:calcOnExit w:val="0"/>
            <w:checkBox>
              <w:size w:val="20"/>
              <w:default w:val="1"/>
            </w:checkBox>
          </w:ffData>
        </w:fldChar>
      </w:r>
      <w:r w:rsidRPr="005633AA">
        <w:rPr>
          <w:rFonts w:cs="Arial"/>
          <w:color w:val="000000"/>
          <w:szCs w:val="18"/>
        </w:rPr>
        <w:instrText xml:space="preserve"> FORMCHECKBOX </w:instrText>
      </w:r>
      <w:r w:rsidR="00DD1C9C">
        <w:rPr>
          <w:rFonts w:cs="Arial"/>
          <w:color w:val="000000"/>
          <w:szCs w:val="18"/>
        </w:rPr>
      </w:r>
      <w:r w:rsidR="00DD1C9C">
        <w:rPr>
          <w:rFonts w:cs="Arial"/>
          <w:color w:val="000000"/>
          <w:szCs w:val="18"/>
        </w:rPr>
        <w:fldChar w:fldCharType="separate"/>
      </w:r>
      <w:r w:rsidRPr="005633AA">
        <w:rPr>
          <w:rFonts w:cs="Arial"/>
          <w:color w:val="000000"/>
          <w:szCs w:val="18"/>
        </w:rPr>
        <w:fldChar w:fldCharType="end"/>
      </w:r>
      <w:r w:rsidRPr="005633AA">
        <w:rPr>
          <w:rFonts w:cs="Arial"/>
          <w:color w:val="000000"/>
          <w:szCs w:val="18"/>
        </w:rPr>
        <w:t xml:space="preserve"> S, portant sur les conditions de sécurité des personnes dans les constructions,</w:t>
      </w:r>
    </w:p>
    <w:p w:rsidR="00E97C53" w:rsidRPr="005633AA" w:rsidRDefault="00E97C53" w:rsidP="00E97C53">
      <w:pPr>
        <w:rPr>
          <w:rFonts w:cs="Arial"/>
          <w:szCs w:val="18"/>
        </w:rPr>
      </w:pPr>
      <w:r w:rsidRPr="005633AA">
        <w:rPr>
          <w:rFonts w:cs="Arial"/>
          <w:color w:val="000000"/>
          <w:szCs w:val="18"/>
        </w:rPr>
        <w:fldChar w:fldCharType="begin">
          <w:ffData>
            <w:name w:val=""/>
            <w:enabled/>
            <w:calcOnExit w:val="0"/>
            <w:checkBox>
              <w:size w:val="20"/>
              <w:default w:val="1"/>
            </w:checkBox>
          </w:ffData>
        </w:fldChar>
      </w:r>
      <w:r w:rsidRPr="005633AA">
        <w:rPr>
          <w:rFonts w:cs="Arial"/>
          <w:color w:val="000000"/>
          <w:szCs w:val="18"/>
        </w:rPr>
        <w:instrText xml:space="preserve"> FORMCHECKBOX </w:instrText>
      </w:r>
      <w:r w:rsidR="00DD1C9C">
        <w:rPr>
          <w:rFonts w:cs="Arial"/>
          <w:color w:val="000000"/>
          <w:szCs w:val="18"/>
        </w:rPr>
      </w:r>
      <w:r w:rsidR="00DD1C9C">
        <w:rPr>
          <w:rFonts w:cs="Arial"/>
          <w:color w:val="000000"/>
          <w:szCs w:val="18"/>
        </w:rPr>
        <w:fldChar w:fldCharType="separate"/>
      </w:r>
      <w:r w:rsidRPr="005633AA">
        <w:rPr>
          <w:rFonts w:cs="Arial"/>
          <w:color w:val="000000"/>
          <w:szCs w:val="18"/>
        </w:rPr>
        <w:fldChar w:fldCharType="end"/>
      </w:r>
      <w:r w:rsidRPr="005633AA">
        <w:rPr>
          <w:rFonts w:cs="Arial"/>
          <w:color w:val="000000"/>
          <w:szCs w:val="18"/>
        </w:rPr>
        <w:t xml:space="preserve"> Hand, relative à l’accessibilité des constructions pour les personnes handicapées</w:t>
      </w:r>
      <w:r w:rsidRPr="005633AA">
        <w:rPr>
          <w:rFonts w:cs="Arial"/>
          <w:szCs w:val="18"/>
        </w:rPr>
        <w:t>.</w:t>
      </w:r>
    </w:p>
    <w:p w:rsidR="00E97C53" w:rsidRPr="005633AA" w:rsidRDefault="00E97C53" w:rsidP="00E97C53">
      <w:pPr>
        <w:rPr>
          <w:rFonts w:cs="Arial"/>
          <w:szCs w:val="18"/>
        </w:rPr>
      </w:pPr>
    </w:p>
    <w:p w:rsidR="00E97C53" w:rsidRPr="005633AA" w:rsidRDefault="00E97C53" w:rsidP="00E97C53">
      <w:pPr>
        <w:rPr>
          <w:rFonts w:cs="Arial"/>
          <w:szCs w:val="18"/>
        </w:rPr>
      </w:pPr>
      <w:r w:rsidRPr="005633AA">
        <w:rPr>
          <w:rFonts w:cs="Arial"/>
          <w:szCs w:val="18"/>
        </w:rPr>
        <w:t>Missions complémentaires :</w:t>
      </w:r>
    </w:p>
    <w:p w:rsidR="00E97C53" w:rsidRPr="005633AA" w:rsidRDefault="00E97C53" w:rsidP="00E97C53">
      <w:pPr>
        <w:rPr>
          <w:rFonts w:cs="Arial"/>
          <w:szCs w:val="18"/>
        </w:rPr>
      </w:pPr>
      <w:r w:rsidRPr="005633AA">
        <w:rPr>
          <w:rFonts w:cs="Arial"/>
          <w:bCs/>
          <w:szCs w:val="18"/>
        </w:rPr>
        <w:fldChar w:fldCharType="begin">
          <w:ffData>
            <w:name w:val=""/>
            <w:enabled/>
            <w:calcOnExit w:val="0"/>
            <w:checkBox>
              <w:size w:val="20"/>
              <w:default w:val="1"/>
            </w:checkBox>
          </w:ffData>
        </w:fldChar>
      </w:r>
      <w:r w:rsidRPr="005633AA">
        <w:rPr>
          <w:rFonts w:cs="Arial"/>
          <w:bCs/>
          <w:szCs w:val="18"/>
        </w:rPr>
        <w:instrText xml:space="preserve"> FORMCHECKBOX </w:instrText>
      </w:r>
      <w:r w:rsidR="00DD1C9C">
        <w:rPr>
          <w:rFonts w:cs="Arial"/>
          <w:bCs/>
          <w:szCs w:val="18"/>
        </w:rPr>
      </w:r>
      <w:r w:rsidR="00DD1C9C">
        <w:rPr>
          <w:rFonts w:cs="Arial"/>
          <w:bCs/>
          <w:szCs w:val="18"/>
        </w:rPr>
        <w:fldChar w:fldCharType="separate"/>
      </w:r>
      <w:r w:rsidRPr="005633AA">
        <w:rPr>
          <w:rFonts w:cs="Arial"/>
          <w:bCs/>
          <w:szCs w:val="18"/>
        </w:rPr>
        <w:fldChar w:fldCharType="end"/>
      </w:r>
      <w:r w:rsidRPr="005633AA">
        <w:rPr>
          <w:rFonts w:cs="Arial"/>
          <w:bCs/>
          <w:szCs w:val="18"/>
        </w:rPr>
        <w:t xml:space="preserve"> </w:t>
      </w:r>
      <w:r w:rsidRPr="005633AA">
        <w:rPr>
          <w:rFonts w:cs="Arial"/>
          <w:szCs w:val="18"/>
        </w:rPr>
        <w:t>P1, relative à la solidité des éléments d’équipement non indissociablement liés ;</w:t>
      </w:r>
    </w:p>
    <w:p w:rsidR="00E97C53" w:rsidRPr="005633AA" w:rsidRDefault="00E97C53" w:rsidP="00E97C53">
      <w:pPr>
        <w:rPr>
          <w:rFonts w:cs="Arial"/>
          <w:bCs/>
          <w:szCs w:val="18"/>
        </w:rPr>
      </w:pPr>
      <w:r w:rsidRPr="005633AA">
        <w:rPr>
          <w:rFonts w:cs="Arial"/>
          <w:szCs w:val="18"/>
        </w:rPr>
        <w:fldChar w:fldCharType="begin">
          <w:ffData>
            <w:name w:val=""/>
            <w:enabled/>
            <w:calcOnExit w:val="0"/>
            <w:checkBox>
              <w:size w:val="20"/>
              <w:default w:val="1"/>
            </w:checkBox>
          </w:ffData>
        </w:fldChar>
      </w:r>
      <w:r w:rsidRPr="005633AA">
        <w:rPr>
          <w:rFonts w:cs="Arial"/>
          <w:szCs w:val="18"/>
        </w:rPr>
        <w:instrText xml:space="preserve"> FORMCHECKBOX </w:instrText>
      </w:r>
      <w:r w:rsidR="00DD1C9C">
        <w:rPr>
          <w:rFonts w:cs="Arial"/>
          <w:szCs w:val="18"/>
        </w:rPr>
      </w:r>
      <w:r w:rsidR="00DD1C9C">
        <w:rPr>
          <w:rFonts w:cs="Arial"/>
          <w:szCs w:val="18"/>
        </w:rPr>
        <w:fldChar w:fldCharType="separate"/>
      </w:r>
      <w:r w:rsidRPr="005633AA">
        <w:rPr>
          <w:rFonts w:cs="Arial"/>
          <w:szCs w:val="18"/>
        </w:rPr>
        <w:fldChar w:fldCharType="end"/>
      </w:r>
      <w:r w:rsidRPr="005633AA">
        <w:rPr>
          <w:rFonts w:cs="Arial"/>
          <w:bCs/>
          <w:szCs w:val="18"/>
        </w:rPr>
        <w:t xml:space="preserve"> F, relative au fonctionnement des installations ;</w:t>
      </w:r>
    </w:p>
    <w:p w:rsidR="00E97C53" w:rsidRPr="005633AA" w:rsidRDefault="00E97C53" w:rsidP="00E97C53">
      <w:pPr>
        <w:rPr>
          <w:rFonts w:cs="Arial"/>
          <w:szCs w:val="18"/>
        </w:rPr>
      </w:pPr>
      <w:r w:rsidRPr="005633AA">
        <w:rPr>
          <w:rFonts w:cs="Arial"/>
          <w:bCs/>
          <w:szCs w:val="18"/>
        </w:rPr>
        <w:fldChar w:fldCharType="begin">
          <w:ffData>
            <w:name w:val=""/>
            <w:enabled/>
            <w:calcOnExit w:val="0"/>
            <w:checkBox>
              <w:size w:val="20"/>
              <w:default w:val="1"/>
            </w:checkBox>
          </w:ffData>
        </w:fldChar>
      </w:r>
      <w:r w:rsidRPr="005633AA">
        <w:rPr>
          <w:rFonts w:cs="Arial"/>
          <w:bCs/>
          <w:szCs w:val="18"/>
        </w:rPr>
        <w:instrText xml:space="preserve"> FORMCHECKBOX </w:instrText>
      </w:r>
      <w:r w:rsidR="00DD1C9C">
        <w:rPr>
          <w:rFonts w:cs="Arial"/>
          <w:bCs/>
          <w:szCs w:val="18"/>
        </w:rPr>
      </w:r>
      <w:r w:rsidR="00DD1C9C">
        <w:rPr>
          <w:rFonts w:cs="Arial"/>
          <w:bCs/>
          <w:szCs w:val="18"/>
        </w:rPr>
        <w:fldChar w:fldCharType="separate"/>
      </w:r>
      <w:r w:rsidRPr="005633AA">
        <w:rPr>
          <w:rFonts w:cs="Arial"/>
          <w:bCs/>
          <w:szCs w:val="18"/>
        </w:rPr>
        <w:fldChar w:fldCharType="end"/>
      </w:r>
      <w:r w:rsidRPr="005633AA">
        <w:rPr>
          <w:rFonts w:cs="Arial"/>
          <w:bCs/>
          <w:szCs w:val="18"/>
        </w:rPr>
        <w:t xml:space="preserve"> </w:t>
      </w:r>
      <w:r w:rsidRPr="005633AA">
        <w:rPr>
          <w:rFonts w:cs="Arial"/>
          <w:szCs w:val="18"/>
        </w:rPr>
        <w:t>Ph, relative à l’isolation acoustique des bâtiments ;</w:t>
      </w:r>
    </w:p>
    <w:p w:rsidR="004B171B" w:rsidRPr="005633AA" w:rsidRDefault="00E97C53" w:rsidP="00E97C53">
      <w:pPr>
        <w:rPr>
          <w:rFonts w:cs="Arial"/>
          <w:szCs w:val="18"/>
        </w:rPr>
      </w:pPr>
      <w:r w:rsidRPr="005633AA">
        <w:rPr>
          <w:rFonts w:cs="Arial"/>
          <w:szCs w:val="18"/>
        </w:rPr>
        <w:fldChar w:fldCharType="begin">
          <w:ffData>
            <w:name w:val=""/>
            <w:enabled/>
            <w:calcOnExit w:val="0"/>
            <w:checkBox>
              <w:size w:val="20"/>
              <w:default w:val="1"/>
            </w:checkBox>
          </w:ffData>
        </w:fldChar>
      </w:r>
      <w:r w:rsidRPr="005633AA">
        <w:rPr>
          <w:rFonts w:cs="Arial"/>
          <w:szCs w:val="18"/>
        </w:rPr>
        <w:instrText xml:space="preserve"> FORMCHECKBOX </w:instrText>
      </w:r>
      <w:r w:rsidR="00DD1C9C">
        <w:rPr>
          <w:rFonts w:cs="Arial"/>
          <w:szCs w:val="18"/>
        </w:rPr>
      </w:r>
      <w:r w:rsidR="00DD1C9C">
        <w:rPr>
          <w:rFonts w:cs="Arial"/>
          <w:szCs w:val="18"/>
        </w:rPr>
        <w:fldChar w:fldCharType="separate"/>
      </w:r>
      <w:r w:rsidRPr="005633AA">
        <w:rPr>
          <w:rFonts w:cs="Arial"/>
          <w:szCs w:val="18"/>
        </w:rPr>
        <w:fldChar w:fldCharType="end"/>
      </w:r>
      <w:r w:rsidRPr="005633AA">
        <w:rPr>
          <w:rFonts w:cs="Arial"/>
          <w:szCs w:val="18"/>
        </w:rPr>
        <w:t xml:space="preserve"> LE relative à la solidité des existants ;</w:t>
      </w:r>
      <w:r w:rsidR="004B171B" w:rsidRPr="005633AA">
        <w:rPr>
          <w:rFonts w:cs="Arial"/>
          <w:szCs w:val="18"/>
        </w:rPr>
        <w:t xml:space="preserve"> </w:t>
      </w:r>
    </w:p>
    <w:p w:rsidR="00E97C53" w:rsidRPr="005633AA" w:rsidRDefault="00E97C53" w:rsidP="00E97C53">
      <w:pPr>
        <w:rPr>
          <w:rFonts w:cs="Arial"/>
          <w:szCs w:val="18"/>
        </w:rPr>
      </w:pPr>
    </w:p>
    <w:p w:rsidR="00E97C53" w:rsidRPr="005633AA" w:rsidRDefault="00E97C53" w:rsidP="00E97C53">
      <w:pPr>
        <w:rPr>
          <w:rFonts w:cs="Arial"/>
          <w:szCs w:val="18"/>
        </w:rPr>
      </w:pPr>
      <w:r w:rsidRPr="005633AA">
        <w:rPr>
          <w:rFonts w:cs="Arial"/>
          <w:szCs w:val="18"/>
        </w:rPr>
        <w:fldChar w:fldCharType="begin">
          <w:ffData>
            <w:name w:val=""/>
            <w:enabled/>
            <w:calcOnExit w:val="0"/>
            <w:checkBox>
              <w:size w:val="20"/>
              <w:default w:val="1"/>
            </w:checkBox>
          </w:ffData>
        </w:fldChar>
      </w:r>
      <w:r w:rsidRPr="005633AA">
        <w:rPr>
          <w:rFonts w:cs="Arial"/>
          <w:szCs w:val="18"/>
        </w:rPr>
        <w:instrText xml:space="preserve"> FORMCHECKBOX </w:instrText>
      </w:r>
      <w:r w:rsidR="00DD1C9C">
        <w:rPr>
          <w:rFonts w:cs="Arial"/>
          <w:szCs w:val="18"/>
        </w:rPr>
      </w:r>
      <w:r w:rsidR="00DD1C9C">
        <w:rPr>
          <w:rFonts w:cs="Arial"/>
          <w:szCs w:val="18"/>
        </w:rPr>
        <w:fldChar w:fldCharType="separate"/>
      </w:r>
      <w:r w:rsidRPr="005633AA">
        <w:rPr>
          <w:rFonts w:cs="Arial"/>
          <w:szCs w:val="18"/>
        </w:rPr>
        <w:fldChar w:fldCharType="end"/>
      </w:r>
      <w:r w:rsidRPr="005633AA">
        <w:rPr>
          <w:rFonts w:cs="Arial"/>
          <w:szCs w:val="18"/>
        </w:rPr>
        <w:t xml:space="preserve"> HYS, relative à l’hygiène et à la santé dans les bâtiments ;</w:t>
      </w:r>
    </w:p>
    <w:p w:rsidR="00E97C53" w:rsidRPr="005633AA" w:rsidRDefault="00E97C53" w:rsidP="00E97C53">
      <w:pPr>
        <w:rPr>
          <w:rFonts w:cs="Arial"/>
          <w:szCs w:val="18"/>
        </w:rPr>
      </w:pPr>
      <w:r w:rsidRPr="005633AA">
        <w:rPr>
          <w:rFonts w:cs="Arial"/>
          <w:szCs w:val="18"/>
        </w:rPr>
        <w:fldChar w:fldCharType="begin">
          <w:ffData>
            <w:name w:val=""/>
            <w:enabled/>
            <w:calcOnExit w:val="0"/>
            <w:checkBox>
              <w:size w:val="20"/>
              <w:default w:val="1"/>
            </w:checkBox>
          </w:ffData>
        </w:fldChar>
      </w:r>
      <w:r w:rsidRPr="005633AA">
        <w:rPr>
          <w:rFonts w:cs="Arial"/>
          <w:szCs w:val="18"/>
        </w:rPr>
        <w:instrText xml:space="preserve"> FORMCHECKBOX </w:instrText>
      </w:r>
      <w:r w:rsidR="00DD1C9C">
        <w:rPr>
          <w:rFonts w:cs="Arial"/>
          <w:szCs w:val="18"/>
        </w:rPr>
      </w:r>
      <w:r w:rsidR="00DD1C9C">
        <w:rPr>
          <w:rFonts w:cs="Arial"/>
          <w:szCs w:val="18"/>
        </w:rPr>
        <w:fldChar w:fldCharType="separate"/>
      </w:r>
      <w:r w:rsidRPr="005633AA">
        <w:rPr>
          <w:rFonts w:cs="Arial"/>
          <w:szCs w:val="18"/>
        </w:rPr>
        <w:fldChar w:fldCharType="end"/>
      </w:r>
      <w:r w:rsidRPr="005633AA">
        <w:rPr>
          <w:rFonts w:cs="Arial"/>
          <w:szCs w:val="18"/>
        </w:rPr>
        <w:t xml:space="preserve"> Attestation constatant le respect de la réglementation applicable aux PMR (décret du 17/05/2006)</w:t>
      </w:r>
    </w:p>
    <w:p w:rsidR="00E97C53" w:rsidRPr="005633AA" w:rsidRDefault="00E97C53" w:rsidP="00E97C53">
      <w:pPr>
        <w:rPr>
          <w:rFonts w:cs="Arial"/>
          <w:szCs w:val="18"/>
        </w:rPr>
      </w:pPr>
    </w:p>
    <w:p w:rsidR="00E97C53" w:rsidRPr="005633AA" w:rsidRDefault="00E97C53" w:rsidP="00E97C53">
      <w:pPr>
        <w:rPr>
          <w:rFonts w:cs="Arial"/>
          <w:szCs w:val="18"/>
        </w:rPr>
      </w:pPr>
      <w:r w:rsidRPr="005633AA">
        <w:rPr>
          <w:rFonts w:cs="Arial"/>
          <w:szCs w:val="18"/>
        </w:rPr>
        <w:t>Missions spécifiques :</w:t>
      </w:r>
    </w:p>
    <w:p w:rsidR="00E97C53" w:rsidRPr="005633AA" w:rsidRDefault="00E97C53" w:rsidP="00E97C53">
      <w:pPr>
        <w:rPr>
          <w:rFonts w:cs="Arial"/>
          <w:szCs w:val="18"/>
        </w:rPr>
      </w:pPr>
      <w:r w:rsidRPr="005633AA">
        <w:rPr>
          <w:rFonts w:cs="Arial"/>
          <w:szCs w:val="18"/>
        </w:rPr>
        <w:fldChar w:fldCharType="begin">
          <w:ffData>
            <w:name w:val=""/>
            <w:enabled/>
            <w:calcOnExit w:val="0"/>
            <w:checkBox>
              <w:size w:val="20"/>
              <w:default w:val="1"/>
            </w:checkBox>
          </w:ffData>
        </w:fldChar>
      </w:r>
      <w:r w:rsidRPr="005633AA">
        <w:rPr>
          <w:rFonts w:cs="Arial"/>
          <w:szCs w:val="18"/>
        </w:rPr>
        <w:instrText xml:space="preserve"> FORMCHECKBOX </w:instrText>
      </w:r>
      <w:r w:rsidR="00DD1C9C">
        <w:rPr>
          <w:rFonts w:cs="Arial"/>
          <w:szCs w:val="18"/>
        </w:rPr>
      </w:r>
      <w:r w:rsidR="00DD1C9C">
        <w:rPr>
          <w:rFonts w:cs="Arial"/>
          <w:szCs w:val="18"/>
        </w:rPr>
        <w:fldChar w:fldCharType="separate"/>
      </w:r>
      <w:r w:rsidRPr="005633AA">
        <w:rPr>
          <w:rFonts w:cs="Arial"/>
          <w:szCs w:val="18"/>
        </w:rPr>
        <w:fldChar w:fldCharType="end"/>
      </w:r>
      <w:r w:rsidRPr="005633AA">
        <w:rPr>
          <w:rFonts w:cs="Arial"/>
          <w:szCs w:val="18"/>
        </w:rPr>
        <w:t> Application du code du travail ;</w:t>
      </w:r>
    </w:p>
    <w:p w:rsidR="00E97C53" w:rsidRPr="005633AA" w:rsidRDefault="00E97C53" w:rsidP="00EA2103">
      <w:pPr>
        <w:rPr>
          <w:rFonts w:cs="Arial"/>
          <w:bCs/>
          <w:szCs w:val="18"/>
        </w:rPr>
      </w:pPr>
      <w:r w:rsidRPr="005633AA">
        <w:rPr>
          <w:rFonts w:cs="Arial"/>
          <w:szCs w:val="18"/>
        </w:rPr>
        <w:fldChar w:fldCharType="begin">
          <w:ffData>
            <w:name w:val=""/>
            <w:enabled/>
            <w:calcOnExit w:val="0"/>
            <w:checkBox>
              <w:size w:val="20"/>
              <w:default w:val="1"/>
            </w:checkBox>
          </w:ffData>
        </w:fldChar>
      </w:r>
      <w:r w:rsidRPr="005633AA">
        <w:rPr>
          <w:rFonts w:cs="Arial"/>
          <w:szCs w:val="18"/>
        </w:rPr>
        <w:instrText xml:space="preserve"> FORMCHECKBOX </w:instrText>
      </w:r>
      <w:r w:rsidR="00DD1C9C">
        <w:rPr>
          <w:rFonts w:cs="Arial"/>
          <w:szCs w:val="18"/>
        </w:rPr>
      </w:r>
      <w:r w:rsidR="00DD1C9C">
        <w:rPr>
          <w:rFonts w:cs="Arial"/>
          <w:szCs w:val="18"/>
        </w:rPr>
        <w:fldChar w:fldCharType="separate"/>
      </w:r>
      <w:r w:rsidRPr="005633AA">
        <w:rPr>
          <w:rFonts w:cs="Arial"/>
          <w:szCs w:val="18"/>
        </w:rPr>
        <w:fldChar w:fldCharType="end"/>
      </w:r>
      <w:r w:rsidRPr="005633AA">
        <w:rPr>
          <w:rFonts w:cs="Arial"/>
          <w:szCs w:val="18"/>
        </w:rPr>
        <w:t xml:space="preserve"> </w:t>
      </w:r>
      <w:r w:rsidRPr="005633AA">
        <w:rPr>
          <w:rFonts w:cs="Arial"/>
          <w:bCs/>
          <w:szCs w:val="18"/>
        </w:rPr>
        <w:t>Vérification initiale des installations électriques prescrites à l’article 53 du décre</w:t>
      </w:r>
      <w:r w:rsidR="00EA2103" w:rsidRPr="005633AA">
        <w:rPr>
          <w:rFonts w:cs="Arial"/>
          <w:bCs/>
          <w:szCs w:val="18"/>
        </w:rPr>
        <w:t>t 88-1056 du 14 novembre 1988</w:t>
      </w:r>
      <w:r w:rsidR="00032829">
        <w:rPr>
          <w:rFonts w:cs="Arial"/>
          <w:bCs/>
          <w:szCs w:val="18"/>
        </w:rPr>
        <w:t>.</w:t>
      </w:r>
    </w:p>
    <w:p w:rsidR="00E62CB3" w:rsidRPr="005633AA" w:rsidRDefault="00E62CB3" w:rsidP="00F108DC">
      <w:pPr>
        <w:pStyle w:val="Txttitre2"/>
        <w:spacing w:before="0" w:line="240" w:lineRule="auto"/>
        <w:ind w:left="0"/>
        <w:rPr>
          <w:rFonts w:ascii="Verdana" w:hAnsi="Verdana" w:cs="Arial"/>
          <w:szCs w:val="18"/>
        </w:rPr>
      </w:pPr>
    </w:p>
    <w:p w:rsidR="00E62CB3" w:rsidRPr="005633AA" w:rsidRDefault="00E62CB3" w:rsidP="00F108DC">
      <w:pPr>
        <w:pStyle w:val="Txttitre2"/>
        <w:spacing w:before="0" w:line="240" w:lineRule="auto"/>
        <w:ind w:left="0"/>
        <w:rPr>
          <w:rFonts w:ascii="Verdana" w:hAnsi="Verdana" w:cs="Arial"/>
          <w:color w:val="000000"/>
          <w:szCs w:val="18"/>
        </w:rPr>
      </w:pPr>
      <w:r w:rsidRPr="005633AA">
        <w:rPr>
          <w:rFonts w:ascii="Verdana" w:hAnsi="Verdana" w:cs="Arial"/>
          <w:color w:val="000000"/>
          <w:szCs w:val="18"/>
        </w:rPr>
        <w:t>Que ce soit au stade des études, de l'exécution des travaux ou de la réception, l'intervention d'un contrôleur technique ne décharge en rien le maître d'œuvre de ses responsabilités et de ses obligations. La mission du contrôleur technique est définie suivant le C.C.T.G. applicable aux marchés de contrôle technique, introduit par décret n°99.443 du 28 mai 1999.</w:t>
      </w:r>
    </w:p>
    <w:p w:rsidR="006F23E2" w:rsidRPr="006F23E2" w:rsidRDefault="006F23E2" w:rsidP="00F108DC">
      <w:pPr>
        <w:pStyle w:val="Txttitre2"/>
        <w:spacing w:before="0" w:line="240" w:lineRule="auto"/>
        <w:ind w:left="0"/>
        <w:rPr>
          <w:rFonts w:ascii="Verdana" w:hAnsi="Verdana" w:cs="Arial"/>
          <w:color w:val="000000"/>
          <w:sz w:val="16"/>
          <w:szCs w:val="16"/>
        </w:rPr>
      </w:pPr>
    </w:p>
    <w:p w:rsidR="00E62CB3" w:rsidRPr="00790C64" w:rsidRDefault="00E62CB3" w:rsidP="00F108DC">
      <w:pPr>
        <w:pStyle w:val="Txttitre2"/>
        <w:spacing w:before="0" w:line="240" w:lineRule="auto"/>
        <w:ind w:left="0"/>
        <w:rPr>
          <w:rFonts w:ascii="Verdana" w:hAnsi="Verdana" w:cs="Arial"/>
          <w:color w:val="000000"/>
          <w:szCs w:val="18"/>
        </w:rPr>
      </w:pPr>
      <w:r w:rsidRPr="00790C64">
        <w:rPr>
          <w:rFonts w:ascii="Verdana" w:hAnsi="Verdana" w:cs="Arial"/>
          <w:color w:val="000000"/>
          <w:szCs w:val="18"/>
        </w:rPr>
        <w:t xml:space="preserve">Par référence à l'article 2, dernier alinéa de ce décret, il est stipulé qu'en tant que constructeur investi d'une obligation de résultat par le maître d'ouvrage, le maître d'œuvre doit, de sa propre initiative, donner suite aux avis, observations, remarques, mises en garde, </w:t>
      </w:r>
      <w:r w:rsidR="006F23E2" w:rsidRPr="00790C64">
        <w:rPr>
          <w:rFonts w:ascii="Verdana" w:hAnsi="Verdana" w:cs="Arial"/>
          <w:color w:val="000000"/>
          <w:szCs w:val="18"/>
        </w:rPr>
        <w:t>etc.…</w:t>
      </w:r>
      <w:r w:rsidRPr="00790C64">
        <w:rPr>
          <w:rFonts w:ascii="Verdana" w:hAnsi="Verdana" w:cs="Arial"/>
          <w:color w:val="000000"/>
          <w:szCs w:val="18"/>
        </w:rPr>
        <w:t xml:space="preserve"> émanant du contrôleur technique. Le maître d'œuvre doit, en cas de besoin, demander des instructions au maître d'ouvrage en explicitant clairement les raisons qui rendent nécessaires l'intervention de ce dernier.</w:t>
      </w:r>
    </w:p>
    <w:p w:rsidR="006F23E2" w:rsidRPr="006F23E2" w:rsidRDefault="006F23E2" w:rsidP="00F108DC">
      <w:pPr>
        <w:pStyle w:val="Txttitre2"/>
        <w:spacing w:before="0" w:line="240" w:lineRule="auto"/>
        <w:ind w:left="0"/>
        <w:rPr>
          <w:rFonts w:ascii="Verdana" w:hAnsi="Verdana" w:cs="Arial"/>
          <w:color w:val="000000"/>
          <w:sz w:val="16"/>
          <w:szCs w:val="16"/>
        </w:rPr>
      </w:pPr>
    </w:p>
    <w:p w:rsidR="00E62CB3" w:rsidRPr="00790C64" w:rsidRDefault="00E62CB3" w:rsidP="00F108DC">
      <w:pPr>
        <w:pStyle w:val="Txttitre2"/>
        <w:spacing w:before="0" w:line="240" w:lineRule="auto"/>
        <w:ind w:left="0"/>
        <w:rPr>
          <w:rFonts w:ascii="Verdana" w:hAnsi="Verdana" w:cs="Arial"/>
          <w:color w:val="000000"/>
          <w:szCs w:val="18"/>
        </w:rPr>
      </w:pPr>
      <w:r w:rsidRPr="00790C64">
        <w:rPr>
          <w:rFonts w:ascii="Verdana" w:hAnsi="Verdana" w:cs="Arial"/>
          <w:color w:val="000000"/>
          <w:szCs w:val="18"/>
        </w:rPr>
        <w:t>Au stade de l'exécution des travaux, le contrôleur technique a pour mission de s'assurer que les vérifications techniques incombant à chacun des constructeurs (maître d'œuvre, entreprises) s'effectuent de manière satisfaisante et il en rend compte au maître d'ouvrage et au conducteur d'opération.</w:t>
      </w:r>
    </w:p>
    <w:p w:rsidR="006F23E2" w:rsidRPr="006F23E2" w:rsidRDefault="006F23E2" w:rsidP="00F108DC">
      <w:pPr>
        <w:pStyle w:val="Txttitre2"/>
        <w:spacing w:before="0" w:line="240" w:lineRule="auto"/>
        <w:ind w:left="0"/>
        <w:rPr>
          <w:rFonts w:ascii="Verdana" w:hAnsi="Verdana" w:cs="Arial"/>
          <w:color w:val="000000"/>
          <w:sz w:val="16"/>
          <w:szCs w:val="16"/>
        </w:rPr>
      </w:pPr>
    </w:p>
    <w:p w:rsidR="007165A3" w:rsidRPr="005633AA" w:rsidRDefault="00E62CB3" w:rsidP="00F108DC">
      <w:pPr>
        <w:pStyle w:val="Txttitre2"/>
        <w:spacing w:before="0" w:line="240" w:lineRule="auto"/>
        <w:ind w:left="0"/>
        <w:rPr>
          <w:rFonts w:ascii="Verdana" w:hAnsi="Verdana" w:cs="Arial"/>
          <w:color w:val="000000"/>
          <w:szCs w:val="18"/>
        </w:rPr>
      </w:pPr>
      <w:r w:rsidRPr="00790C64">
        <w:rPr>
          <w:rFonts w:ascii="Verdana" w:hAnsi="Verdana" w:cs="Arial"/>
          <w:color w:val="000000"/>
          <w:szCs w:val="18"/>
        </w:rPr>
        <w:t>Dans le cadre de sa mission, le contrôleur technique ne s'adresse pas directement aux entreprises ; il adresse ses avis, rapports,</w:t>
      </w:r>
      <w:r w:rsidR="003504FB" w:rsidRPr="00790C64">
        <w:rPr>
          <w:rFonts w:ascii="Verdana" w:hAnsi="Verdana" w:cs="Arial"/>
          <w:color w:val="000000"/>
          <w:szCs w:val="18"/>
        </w:rPr>
        <w:t xml:space="preserve"> </w:t>
      </w:r>
      <w:r w:rsidR="006F23E2" w:rsidRPr="00790C64">
        <w:rPr>
          <w:rFonts w:ascii="Verdana" w:hAnsi="Verdana" w:cs="Arial"/>
          <w:color w:val="000000"/>
          <w:szCs w:val="18"/>
        </w:rPr>
        <w:t>etc.…</w:t>
      </w:r>
      <w:r w:rsidR="003504FB" w:rsidRPr="00790C64">
        <w:rPr>
          <w:rFonts w:ascii="Verdana" w:hAnsi="Verdana" w:cs="Arial"/>
          <w:color w:val="000000"/>
          <w:szCs w:val="18"/>
        </w:rPr>
        <w:t xml:space="preserve"> </w:t>
      </w:r>
      <w:r w:rsidR="00C94BCF" w:rsidRPr="00790C64">
        <w:rPr>
          <w:rFonts w:ascii="Verdana" w:hAnsi="Verdana" w:cs="Arial"/>
          <w:color w:val="000000"/>
          <w:szCs w:val="18"/>
        </w:rPr>
        <w:t>au</w:t>
      </w:r>
      <w:r w:rsidR="003504FB" w:rsidRPr="00790C64">
        <w:rPr>
          <w:rFonts w:ascii="Verdana" w:hAnsi="Verdana" w:cs="Arial"/>
          <w:color w:val="000000"/>
          <w:szCs w:val="18"/>
        </w:rPr>
        <w:t xml:space="preserve"> maître d'ouvrage </w:t>
      </w:r>
      <w:r w:rsidR="0091123D">
        <w:rPr>
          <w:rFonts w:ascii="Verdana" w:hAnsi="Verdana" w:cs="Arial"/>
          <w:color w:val="000000"/>
          <w:szCs w:val="18"/>
        </w:rPr>
        <w:t>(la</w:t>
      </w:r>
      <w:r w:rsidR="007165A3">
        <w:rPr>
          <w:rFonts w:ascii="Verdana" w:hAnsi="Verdana" w:cs="Arial"/>
          <w:color w:val="000000"/>
          <w:szCs w:val="18"/>
        </w:rPr>
        <w:t xml:space="preserve"> </w:t>
      </w:r>
      <w:r w:rsidR="003504FB" w:rsidRPr="00790C64">
        <w:rPr>
          <w:rFonts w:ascii="Verdana" w:hAnsi="Verdana" w:cs="Arial"/>
          <w:color w:val="000000"/>
          <w:szCs w:val="18"/>
        </w:rPr>
        <w:t>D</w:t>
      </w:r>
      <w:r w:rsidR="009F63DD" w:rsidRPr="00790C64">
        <w:rPr>
          <w:rFonts w:ascii="Verdana" w:hAnsi="Verdana" w:cs="Arial"/>
          <w:color w:val="000000"/>
          <w:szCs w:val="18"/>
        </w:rPr>
        <w:t>D</w:t>
      </w:r>
      <w:r w:rsidRPr="00790C64">
        <w:rPr>
          <w:rFonts w:ascii="Verdana" w:hAnsi="Verdana" w:cs="Arial"/>
          <w:color w:val="000000"/>
          <w:szCs w:val="18"/>
        </w:rPr>
        <w:t>PI</w:t>
      </w:r>
      <w:r w:rsidR="0091123D">
        <w:rPr>
          <w:rFonts w:ascii="Verdana" w:hAnsi="Verdana" w:cs="Arial"/>
          <w:color w:val="000000"/>
          <w:szCs w:val="18"/>
        </w:rPr>
        <w:t>)</w:t>
      </w:r>
      <w:r w:rsidRPr="00790C64">
        <w:rPr>
          <w:rFonts w:ascii="Verdana" w:hAnsi="Verdana" w:cs="Arial"/>
          <w:color w:val="000000"/>
          <w:szCs w:val="18"/>
        </w:rPr>
        <w:t xml:space="preserve"> avec copie au maître d'œuvre. Au vu des avis, rapports, </w:t>
      </w:r>
      <w:r w:rsidR="006F23E2" w:rsidRPr="00790C64">
        <w:rPr>
          <w:rFonts w:ascii="Verdana" w:hAnsi="Verdana" w:cs="Arial"/>
          <w:color w:val="000000"/>
          <w:szCs w:val="18"/>
        </w:rPr>
        <w:t>etc.…</w:t>
      </w:r>
      <w:r w:rsidRPr="00790C64">
        <w:rPr>
          <w:rFonts w:ascii="Verdana" w:hAnsi="Verdana" w:cs="Arial"/>
          <w:color w:val="000000"/>
          <w:szCs w:val="18"/>
        </w:rPr>
        <w:t xml:space="preserve"> du contrôleur technique, le maître d'œuvre a seul pouvoir pour donner les directives qu'il juge utiles, aux entreprises. Toute demande de justificatif (document) émanant du contrôleur technique doit être satisfaite.</w:t>
      </w:r>
    </w:p>
    <w:p w:rsidR="0015009D" w:rsidRDefault="005633AA" w:rsidP="006A3768">
      <w:pPr>
        <w:pStyle w:val="Titre2"/>
      </w:pPr>
      <w:bookmarkStart w:id="67" w:name="_Toc507321258"/>
      <w:bookmarkStart w:id="68" w:name="_Toc465261434"/>
      <w:bookmarkStart w:id="69" w:name="_Toc133586034"/>
      <w:bookmarkStart w:id="70" w:name="_Toc133586530"/>
      <w:bookmarkStart w:id="71" w:name="_Toc133586609"/>
      <w:bookmarkStart w:id="72" w:name="_Toc133586773"/>
      <w:bookmarkStart w:id="73" w:name="_Toc148692597"/>
      <w:r>
        <w:lastRenderedPageBreak/>
        <w:t>5</w:t>
      </w:r>
      <w:r w:rsidR="0015009D" w:rsidRPr="006A3768">
        <w:t>.</w:t>
      </w:r>
      <w:r w:rsidR="00135559">
        <w:t>4</w:t>
      </w:r>
      <w:r w:rsidR="0015009D" w:rsidRPr="006A3768">
        <w:t xml:space="preserve"> Le </w:t>
      </w:r>
      <w:r w:rsidR="00253797">
        <w:t>c</w:t>
      </w:r>
      <w:r w:rsidR="0015009D" w:rsidRPr="006A3768">
        <w:t>oordonnateur en matière de sécurité et de protection de la santé</w:t>
      </w:r>
      <w:bookmarkEnd w:id="67"/>
      <w:bookmarkEnd w:id="68"/>
      <w:bookmarkEnd w:id="69"/>
      <w:bookmarkEnd w:id="70"/>
      <w:bookmarkEnd w:id="71"/>
      <w:bookmarkEnd w:id="72"/>
      <w:bookmarkEnd w:id="73"/>
    </w:p>
    <w:p w:rsidR="0015009D" w:rsidRPr="00790C64" w:rsidRDefault="0015009D" w:rsidP="00F108DC">
      <w:pPr>
        <w:pStyle w:val="Txttitre2"/>
        <w:spacing w:before="0" w:line="240" w:lineRule="auto"/>
        <w:ind w:left="0"/>
        <w:rPr>
          <w:rFonts w:ascii="Verdana" w:hAnsi="Verdana" w:cs="Arial"/>
          <w:szCs w:val="18"/>
        </w:rPr>
      </w:pPr>
      <w:r w:rsidRPr="00790C64">
        <w:rPr>
          <w:rFonts w:ascii="Verdana" w:hAnsi="Verdana" w:cs="Arial"/>
          <w:szCs w:val="18"/>
        </w:rPr>
        <w:t>L’opération justifie d’appliquer la loi 93-1418 du 31 décembre 1993 et de ses décrets d’application. De ce fait, le maître d’ouvrage prévoit de s’attacher les services d’un coordonnateur en matière de sécurité et de protection de la santé qui agira dans le cadre des textes réglementaires.</w:t>
      </w:r>
    </w:p>
    <w:p w:rsidR="00C94BCF" w:rsidRPr="00F01B06" w:rsidRDefault="00C94BCF" w:rsidP="00F108DC">
      <w:pPr>
        <w:pStyle w:val="Txttitre2"/>
        <w:spacing w:before="0" w:line="240" w:lineRule="auto"/>
        <w:ind w:left="0"/>
        <w:rPr>
          <w:rFonts w:ascii="Verdana" w:hAnsi="Verdana" w:cs="Arial"/>
          <w:sz w:val="10"/>
          <w:szCs w:val="10"/>
        </w:rPr>
      </w:pPr>
    </w:p>
    <w:p w:rsidR="00993AF4" w:rsidRPr="00032829" w:rsidRDefault="004E5D74" w:rsidP="00032829">
      <w:pPr>
        <w:pStyle w:val="Txttitre2"/>
        <w:spacing w:before="0" w:line="240" w:lineRule="auto"/>
        <w:ind w:left="0"/>
        <w:rPr>
          <w:rFonts w:ascii="Verdana" w:hAnsi="Verdana" w:cs="Arial"/>
          <w:szCs w:val="18"/>
        </w:rPr>
      </w:pPr>
      <w:bookmarkStart w:id="74" w:name="_Toc374413859"/>
      <w:r w:rsidRPr="00986FE8">
        <w:rPr>
          <w:rFonts w:ascii="Verdana" w:hAnsi="Verdana" w:cs="Arial"/>
          <w:szCs w:val="18"/>
        </w:rPr>
        <w:t>Le maître d’ouvrage </w:t>
      </w:r>
      <w:r w:rsidR="00032829">
        <w:rPr>
          <w:rFonts w:ascii="Verdana" w:hAnsi="Verdana" w:cs="Arial"/>
          <w:szCs w:val="18"/>
        </w:rPr>
        <w:t>e</w:t>
      </w:r>
      <w:r w:rsidRPr="00986FE8">
        <w:rPr>
          <w:rFonts w:ascii="Verdana" w:hAnsi="Verdana" w:cs="Arial"/>
          <w:szCs w:val="18"/>
        </w:rPr>
        <w:t>nvisage de confier (ma</w:t>
      </w:r>
      <w:r w:rsidR="00993AF4">
        <w:rPr>
          <w:rFonts w:ascii="Verdana" w:hAnsi="Verdana" w:cs="Arial"/>
          <w:szCs w:val="18"/>
        </w:rPr>
        <w:t>r</w:t>
      </w:r>
      <w:r w:rsidRPr="00986FE8">
        <w:rPr>
          <w:rFonts w:ascii="Verdana" w:hAnsi="Verdana" w:cs="Arial"/>
          <w:szCs w:val="18"/>
        </w:rPr>
        <w:t xml:space="preserve">ché non signé) une mission de </w:t>
      </w:r>
      <w:r w:rsidR="00980461" w:rsidRPr="00986FE8">
        <w:rPr>
          <w:rFonts w:ascii="Verdana" w:hAnsi="Verdana" w:cs="Arial"/>
          <w:szCs w:val="18"/>
        </w:rPr>
        <w:t>CSPS</w:t>
      </w:r>
      <w:r w:rsidRPr="00986FE8">
        <w:rPr>
          <w:rFonts w:ascii="Verdana" w:hAnsi="Verdana" w:cs="Arial"/>
          <w:szCs w:val="18"/>
        </w:rPr>
        <w:t>.</w:t>
      </w:r>
      <w:bookmarkStart w:id="75" w:name="_Toc465261435"/>
      <w:bookmarkStart w:id="76" w:name="_Toc133586774"/>
    </w:p>
    <w:p w:rsidR="005633AA" w:rsidRDefault="005633AA" w:rsidP="006A3768">
      <w:pPr>
        <w:pStyle w:val="TITRE100"/>
      </w:pPr>
    </w:p>
    <w:p w:rsidR="005633AA" w:rsidRDefault="005633AA" w:rsidP="006A3768">
      <w:pPr>
        <w:pStyle w:val="TITRE100"/>
      </w:pPr>
    </w:p>
    <w:p w:rsidR="005633AA" w:rsidRDefault="0082340C" w:rsidP="005633AA">
      <w:pPr>
        <w:pStyle w:val="TITRE100"/>
      </w:pPr>
      <w:bookmarkStart w:id="77" w:name="_Toc148692598"/>
      <w:r w:rsidRPr="006A3768">
        <w:t xml:space="preserve">ARTICLE </w:t>
      </w:r>
      <w:r w:rsidR="005633AA">
        <w:t>6</w:t>
      </w:r>
      <w:r w:rsidR="008D550C" w:rsidRPr="006A3768">
        <w:t xml:space="preserve"> </w:t>
      </w:r>
      <w:r w:rsidR="005633AA">
        <w:t>–</w:t>
      </w:r>
      <w:r w:rsidR="008D550C" w:rsidRPr="006A3768">
        <w:t xml:space="preserve"> </w:t>
      </w:r>
      <w:bookmarkEnd w:id="74"/>
      <w:bookmarkEnd w:id="75"/>
      <w:bookmarkEnd w:id="76"/>
      <w:r w:rsidR="005633AA">
        <w:t>ETENDUES DES PRESTATIONS</w:t>
      </w:r>
      <w:bookmarkEnd w:id="77"/>
    </w:p>
    <w:p w:rsidR="006F23E2" w:rsidRDefault="006F23E2" w:rsidP="006F23E2">
      <w:pPr>
        <w:rPr>
          <w:rFonts w:cs="Arial"/>
          <w:szCs w:val="18"/>
          <w:highlight w:val="cyan"/>
        </w:rPr>
      </w:pPr>
      <w:bookmarkStart w:id="78" w:name="_Toc374413863"/>
      <w:bookmarkStart w:id="79" w:name="_Toc374413866"/>
    </w:p>
    <w:p w:rsidR="00135559" w:rsidRDefault="00135559" w:rsidP="00135559">
      <w:r>
        <w:rPr>
          <w:rFonts w:cs="Arial"/>
          <w:b/>
          <w:szCs w:val="18"/>
        </w:rPr>
        <w:t>Règlementation</w:t>
      </w:r>
      <w:r>
        <w:rPr>
          <w:rFonts w:cs="Arial"/>
          <w:szCs w:val="18"/>
        </w:rPr>
        <w:t xml:space="preserve"> : toutes les mesures seront prises par le titulaire du marché pour répondre à la règlementation et les normes en vigueur dans l’exécution des prestations qu’il est réputé lister pour l’exécution des travaux dont il aura la maîtrise d’œuvre. Le maître d’œuvre devra, au titre de son devoir de conseil, informer le plus en amont possible d’éventuels changements de normes liés à la construction et réhabilitation de bâtiments pouvant entrer en vigueur postérieurement à la notification d’un </w:t>
      </w:r>
      <w:r>
        <w:rPr>
          <w:rFonts w:cs="Verdana"/>
          <w:szCs w:val="18"/>
        </w:rPr>
        <w:t xml:space="preserve">marché subséquent </w:t>
      </w:r>
      <w:r>
        <w:rPr>
          <w:rFonts w:cs="Arial"/>
          <w:szCs w:val="18"/>
        </w:rPr>
        <w:t>de prestations de maîtrise d’œuvre et postérieurement au lancement de consultation des entreprises de travaux. En particulier, toute norme dont l’effet différé connu avant la mise en service des locaux réhabilités devra par principe être anticipée, sauf accord contraire du maître d’ouvrage.</w:t>
      </w:r>
    </w:p>
    <w:p w:rsidR="00135559" w:rsidRDefault="00135559" w:rsidP="00135559">
      <w:pPr>
        <w:rPr>
          <w:rFonts w:cs="Verdana"/>
          <w:szCs w:val="18"/>
          <w:bdr w:val="single" w:sz="4" w:space="0" w:color="000000"/>
        </w:rPr>
      </w:pPr>
    </w:p>
    <w:p w:rsidR="00135559" w:rsidRDefault="00135559" w:rsidP="00135559">
      <w:pPr>
        <w:rPr>
          <w:rFonts w:cs="Arial"/>
          <w:szCs w:val="18"/>
        </w:rPr>
      </w:pPr>
      <w:r>
        <w:rPr>
          <w:rFonts w:cs="Arial"/>
          <w:b/>
          <w:szCs w:val="18"/>
        </w:rPr>
        <w:t xml:space="preserve">Vérification : </w:t>
      </w:r>
      <w:r>
        <w:rPr>
          <w:rFonts w:cs="Arial"/>
          <w:szCs w:val="18"/>
        </w:rPr>
        <w:t>la vérification</w:t>
      </w:r>
      <w:r>
        <w:rPr>
          <w:rFonts w:cs="Arial"/>
          <w:b/>
          <w:szCs w:val="18"/>
        </w:rPr>
        <w:t xml:space="preserve"> </w:t>
      </w:r>
      <w:r>
        <w:rPr>
          <w:rFonts w:cs="Arial"/>
          <w:szCs w:val="18"/>
        </w:rPr>
        <w:t xml:space="preserve">des prestations se fera conformément </w:t>
      </w:r>
      <w:r w:rsidRPr="00B0074B">
        <w:rPr>
          <w:rFonts w:cs="Arial"/>
          <w:szCs w:val="18"/>
        </w:rPr>
        <w:t>à l’article 8 du CCAP.</w:t>
      </w:r>
    </w:p>
    <w:p w:rsidR="00135559" w:rsidRPr="005946CF" w:rsidRDefault="00135559" w:rsidP="00135559">
      <w:pPr>
        <w:pStyle w:val="Titre2"/>
      </w:pPr>
      <w:bookmarkStart w:id="80" w:name="_Toc119597373"/>
      <w:bookmarkStart w:id="81" w:name="_Toc148692599"/>
      <w:r w:rsidRPr="005946CF">
        <w:t>6.1 Nature des prestations à réaliser et modalités d’exécution des prestations</w:t>
      </w:r>
      <w:bookmarkEnd w:id="80"/>
      <w:bookmarkEnd w:id="81"/>
    </w:p>
    <w:p w:rsidR="00135559" w:rsidRPr="002F7873" w:rsidRDefault="00135559" w:rsidP="00135559">
      <w:pPr>
        <w:tabs>
          <w:tab w:val="left" w:pos="720"/>
          <w:tab w:val="left" w:pos="1260"/>
          <w:tab w:val="left" w:pos="1440"/>
          <w:tab w:val="left" w:pos="1800"/>
        </w:tabs>
        <w:rPr>
          <w:rFonts w:cs="Arial"/>
          <w:szCs w:val="18"/>
        </w:rPr>
      </w:pPr>
      <w:r w:rsidRPr="002F7873">
        <w:rPr>
          <w:rFonts w:cs="Arial"/>
          <w:szCs w:val="18"/>
        </w:rPr>
        <w:t>La mission de maîtrise d'œuvre comprend les éléments de mission suivants, dont le contenu détaillé figure au CCTP.</w:t>
      </w:r>
    </w:p>
    <w:p w:rsidR="00135559" w:rsidRPr="002F7873" w:rsidRDefault="00135559" w:rsidP="00135559">
      <w:pPr>
        <w:tabs>
          <w:tab w:val="left" w:pos="720"/>
          <w:tab w:val="left" w:pos="1260"/>
          <w:tab w:val="left" w:pos="1440"/>
          <w:tab w:val="left" w:pos="1800"/>
        </w:tabs>
        <w:rPr>
          <w:rFonts w:cs="Arial"/>
          <w:sz w:val="16"/>
          <w:szCs w:val="16"/>
        </w:rPr>
      </w:pPr>
    </w:p>
    <w:p w:rsidR="00135559" w:rsidRPr="00F01B06" w:rsidRDefault="00135559" w:rsidP="00F01B06">
      <w:pPr>
        <w:rPr>
          <w:u w:val="single"/>
        </w:rPr>
      </w:pPr>
      <w:r w:rsidRPr="006A3768">
        <w:rPr>
          <w:u w:val="single"/>
        </w:rPr>
        <w:t>Mission</w:t>
      </w:r>
      <w:r>
        <w:rPr>
          <w:u w:val="single"/>
        </w:rPr>
        <w:t>s</w:t>
      </w:r>
      <w:r w:rsidRPr="006A3768">
        <w:rPr>
          <w:u w:val="single"/>
        </w:rPr>
        <w:t xml:space="preserve"> </w:t>
      </w:r>
    </w:p>
    <w:p w:rsidR="00135559" w:rsidRPr="002F7873" w:rsidRDefault="00135559" w:rsidP="008F2B6A">
      <w:pPr>
        <w:numPr>
          <w:ilvl w:val="0"/>
          <w:numId w:val="3"/>
        </w:numPr>
        <w:tabs>
          <w:tab w:val="left" w:pos="720"/>
          <w:tab w:val="left" w:pos="1260"/>
          <w:tab w:val="left" w:pos="1440"/>
          <w:tab w:val="left" w:pos="1800"/>
        </w:tabs>
        <w:rPr>
          <w:rFonts w:cs="Arial"/>
          <w:szCs w:val="18"/>
        </w:rPr>
      </w:pPr>
      <w:r w:rsidRPr="002F7873">
        <w:rPr>
          <w:rFonts w:cs="Arial"/>
          <w:szCs w:val="18"/>
        </w:rPr>
        <w:t xml:space="preserve">Etudes d’Avant-Projet </w:t>
      </w:r>
      <w:r>
        <w:rPr>
          <w:rFonts w:cs="Arial"/>
          <w:szCs w:val="18"/>
        </w:rPr>
        <w:t>Définitif (APD)</w:t>
      </w:r>
    </w:p>
    <w:p w:rsidR="00135559" w:rsidRPr="002F7873" w:rsidRDefault="00135559" w:rsidP="008F2B6A">
      <w:pPr>
        <w:numPr>
          <w:ilvl w:val="0"/>
          <w:numId w:val="3"/>
        </w:numPr>
        <w:tabs>
          <w:tab w:val="left" w:pos="720"/>
          <w:tab w:val="left" w:pos="1260"/>
          <w:tab w:val="left" w:pos="1440"/>
          <w:tab w:val="left" w:pos="1800"/>
        </w:tabs>
        <w:rPr>
          <w:rFonts w:cs="Arial"/>
          <w:szCs w:val="18"/>
        </w:rPr>
      </w:pPr>
      <w:r w:rsidRPr="002F7873">
        <w:rPr>
          <w:rFonts w:cs="Arial"/>
          <w:szCs w:val="18"/>
        </w:rPr>
        <w:t xml:space="preserve">Etudes de projet </w:t>
      </w:r>
      <w:r>
        <w:rPr>
          <w:rFonts w:cs="Arial"/>
          <w:szCs w:val="18"/>
        </w:rPr>
        <w:t>(PRO)</w:t>
      </w:r>
    </w:p>
    <w:p w:rsidR="00135559" w:rsidRPr="002F7873" w:rsidRDefault="00135559" w:rsidP="008F2B6A">
      <w:pPr>
        <w:numPr>
          <w:ilvl w:val="0"/>
          <w:numId w:val="3"/>
        </w:numPr>
        <w:tabs>
          <w:tab w:val="left" w:pos="720"/>
          <w:tab w:val="left" w:pos="1260"/>
          <w:tab w:val="left" w:pos="1440"/>
          <w:tab w:val="left" w:pos="1800"/>
        </w:tabs>
        <w:rPr>
          <w:rFonts w:cs="Arial"/>
          <w:szCs w:val="18"/>
        </w:rPr>
      </w:pPr>
      <w:r w:rsidRPr="002F7873">
        <w:rPr>
          <w:rFonts w:cs="Arial"/>
          <w:szCs w:val="18"/>
        </w:rPr>
        <w:t xml:space="preserve">Assistance à la passation des marchés de travaux </w:t>
      </w:r>
      <w:r>
        <w:rPr>
          <w:rFonts w:cs="Arial"/>
          <w:szCs w:val="18"/>
        </w:rPr>
        <w:t>(ACT)</w:t>
      </w:r>
    </w:p>
    <w:p w:rsidR="00135559" w:rsidRPr="002F7873" w:rsidRDefault="00135559" w:rsidP="008F2B6A">
      <w:pPr>
        <w:numPr>
          <w:ilvl w:val="0"/>
          <w:numId w:val="3"/>
        </w:numPr>
        <w:tabs>
          <w:tab w:val="left" w:pos="720"/>
          <w:tab w:val="left" w:pos="1260"/>
          <w:tab w:val="left" w:pos="1440"/>
          <w:tab w:val="left" w:pos="1800"/>
        </w:tabs>
        <w:rPr>
          <w:rFonts w:cs="Arial"/>
          <w:szCs w:val="18"/>
        </w:rPr>
      </w:pPr>
      <w:r w:rsidRPr="002F7873">
        <w:rPr>
          <w:rFonts w:cs="Arial"/>
          <w:szCs w:val="18"/>
        </w:rPr>
        <w:t>Visa des documents d’exécution et de synthèse</w:t>
      </w:r>
      <w:r>
        <w:rPr>
          <w:rFonts w:cs="Arial"/>
          <w:szCs w:val="18"/>
        </w:rPr>
        <w:t xml:space="preserve"> (VISA)</w:t>
      </w:r>
    </w:p>
    <w:p w:rsidR="00135559" w:rsidRPr="002F7873" w:rsidRDefault="00135559" w:rsidP="008F2B6A">
      <w:pPr>
        <w:numPr>
          <w:ilvl w:val="0"/>
          <w:numId w:val="3"/>
        </w:numPr>
        <w:tabs>
          <w:tab w:val="left" w:pos="720"/>
          <w:tab w:val="left" w:pos="1260"/>
          <w:tab w:val="left" w:pos="1440"/>
          <w:tab w:val="left" w:pos="1800"/>
        </w:tabs>
        <w:rPr>
          <w:rFonts w:cs="Arial"/>
          <w:color w:val="000000"/>
          <w:szCs w:val="18"/>
        </w:rPr>
      </w:pPr>
      <w:r w:rsidRPr="002F7873">
        <w:rPr>
          <w:rFonts w:cs="Arial"/>
          <w:color w:val="000000"/>
          <w:szCs w:val="18"/>
        </w:rPr>
        <w:t>Direction de l'exécution des travaux</w:t>
      </w:r>
      <w:r>
        <w:rPr>
          <w:rFonts w:cs="Arial"/>
          <w:color w:val="000000"/>
          <w:szCs w:val="18"/>
        </w:rPr>
        <w:t xml:space="preserve"> (DET)</w:t>
      </w:r>
      <w:r w:rsidRPr="002F7873">
        <w:rPr>
          <w:rFonts w:cs="Arial"/>
          <w:color w:val="000000"/>
          <w:szCs w:val="18"/>
        </w:rPr>
        <w:tab/>
      </w:r>
    </w:p>
    <w:p w:rsidR="00135559" w:rsidRDefault="00135559" w:rsidP="008F2B6A">
      <w:pPr>
        <w:numPr>
          <w:ilvl w:val="0"/>
          <w:numId w:val="3"/>
        </w:numPr>
        <w:tabs>
          <w:tab w:val="left" w:pos="720"/>
          <w:tab w:val="left" w:pos="1260"/>
          <w:tab w:val="left" w:pos="1440"/>
          <w:tab w:val="left" w:pos="1800"/>
        </w:tabs>
        <w:rPr>
          <w:rFonts w:cs="Arial"/>
          <w:color w:val="000000"/>
          <w:szCs w:val="18"/>
        </w:rPr>
      </w:pPr>
      <w:r w:rsidRPr="00E97C53">
        <w:rPr>
          <w:rFonts w:cs="Arial"/>
          <w:color w:val="000000"/>
          <w:szCs w:val="18"/>
        </w:rPr>
        <w:t xml:space="preserve">Assistance aux opérations de réception </w:t>
      </w:r>
      <w:r>
        <w:rPr>
          <w:rFonts w:cs="Arial"/>
          <w:color w:val="000000"/>
          <w:szCs w:val="18"/>
        </w:rPr>
        <w:t>(AOR)</w:t>
      </w:r>
    </w:p>
    <w:p w:rsidR="00135559" w:rsidRDefault="00135559" w:rsidP="008F2B6A">
      <w:pPr>
        <w:numPr>
          <w:ilvl w:val="0"/>
          <w:numId w:val="3"/>
        </w:numPr>
        <w:tabs>
          <w:tab w:val="left" w:pos="720"/>
          <w:tab w:val="left" w:pos="1260"/>
          <w:tab w:val="left" w:pos="1440"/>
          <w:tab w:val="left" w:pos="1800"/>
        </w:tabs>
        <w:rPr>
          <w:rFonts w:cs="Arial"/>
          <w:color w:val="000000"/>
          <w:szCs w:val="18"/>
        </w:rPr>
      </w:pPr>
      <w:r>
        <w:rPr>
          <w:rFonts w:cs="Arial"/>
          <w:color w:val="000000"/>
          <w:szCs w:val="18"/>
        </w:rPr>
        <w:t>Ordonnancement, pilotage, coordination (OPC)</w:t>
      </w:r>
    </w:p>
    <w:p w:rsidR="008E612C" w:rsidRDefault="008E612C" w:rsidP="008F2B6A">
      <w:pPr>
        <w:numPr>
          <w:ilvl w:val="0"/>
          <w:numId w:val="3"/>
        </w:numPr>
        <w:tabs>
          <w:tab w:val="left" w:pos="720"/>
          <w:tab w:val="left" w:pos="1260"/>
          <w:tab w:val="left" w:pos="1440"/>
          <w:tab w:val="left" w:pos="1800"/>
        </w:tabs>
        <w:rPr>
          <w:rFonts w:cs="Arial"/>
          <w:color w:val="000000"/>
          <w:szCs w:val="18"/>
        </w:rPr>
      </w:pPr>
      <w:r>
        <w:rPr>
          <w:rFonts w:cs="Arial"/>
          <w:color w:val="000000"/>
          <w:szCs w:val="18"/>
        </w:rPr>
        <w:t>Coordonnateur Système de Sécurité Incendie (CSSI)</w:t>
      </w:r>
    </w:p>
    <w:p w:rsidR="008E612C" w:rsidRPr="00BC49D6" w:rsidRDefault="008E612C" w:rsidP="008F2B6A">
      <w:pPr>
        <w:numPr>
          <w:ilvl w:val="0"/>
          <w:numId w:val="3"/>
        </w:numPr>
        <w:tabs>
          <w:tab w:val="left" w:pos="720"/>
          <w:tab w:val="left" w:pos="1260"/>
          <w:tab w:val="left" w:pos="1440"/>
          <w:tab w:val="left" w:pos="1800"/>
        </w:tabs>
        <w:rPr>
          <w:rFonts w:cs="Arial"/>
          <w:color w:val="000000"/>
          <w:szCs w:val="18"/>
        </w:rPr>
      </w:pPr>
      <w:r w:rsidRPr="00BC49D6">
        <w:rPr>
          <w:rFonts w:cs="Arial"/>
          <w:color w:val="000000"/>
          <w:szCs w:val="18"/>
        </w:rPr>
        <w:t>Mobilier</w:t>
      </w:r>
      <w:r w:rsidR="002A56AC" w:rsidRPr="00BC49D6">
        <w:rPr>
          <w:rFonts w:cs="Arial"/>
          <w:color w:val="000000"/>
          <w:szCs w:val="18"/>
        </w:rPr>
        <w:t xml:space="preserve"> (MOB)</w:t>
      </w:r>
    </w:p>
    <w:p w:rsidR="008E612C" w:rsidRPr="00BC49D6" w:rsidRDefault="008E612C" w:rsidP="008F2B6A">
      <w:pPr>
        <w:numPr>
          <w:ilvl w:val="0"/>
          <w:numId w:val="3"/>
        </w:numPr>
        <w:tabs>
          <w:tab w:val="left" w:pos="720"/>
          <w:tab w:val="left" w:pos="1260"/>
          <w:tab w:val="left" w:pos="1440"/>
          <w:tab w:val="left" w:pos="1800"/>
        </w:tabs>
        <w:rPr>
          <w:rFonts w:cs="Arial"/>
          <w:color w:val="000000"/>
          <w:szCs w:val="18"/>
        </w:rPr>
      </w:pPr>
      <w:r w:rsidRPr="00BC49D6">
        <w:rPr>
          <w:rFonts w:cs="Arial"/>
          <w:color w:val="000000"/>
          <w:szCs w:val="18"/>
        </w:rPr>
        <w:t>Signalétique</w:t>
      </w:r>
      <w:r w:rsidR="002A56AC" w:rsidRPr="00BC49D6">
        <w:rPr>
          <w:rFonts w:cs="Arial"/>
          <w:color w:val="000000"/>
          <w:szCs w:val="18"/>
        </w:rPr>
        <w:t xml:space="preserve"> </w:t>
      </w:r>
    </w:p>
    <w:p w:rsidR="008E612C" w:rsidRPr="00BC49D6" w:rsidRDefault="008E612C" w:rsidP="008F2B6A">
      <w:pPr>
        <w:numPr>
          <w:ilvl w:val="0"/>
          <w:numId w:val="3"/>
        </w:numPr>
        <w:tabs>
          <w:tab w:val="left" w:pos="720"/>
          <w:tab w:val="left" w:pos="1260"/>
          <w:tab w:val="left" w:pos="1440"/>
          <w:tab w:val="left" w:pos="1800"/>
        </w:tabs>
        <w:rPr>
          <w:rFonts w:cs="Arial"/>
          <w:color w:val="000000"/>
          <w:szCs w:val="18"/>
        </w:rPr>
      </w:pPr>
      <w:r w:rsidRPr="00BC49D6">
        <w:rPr>
          <w:rFonts w:cs="Arial"/>
          <w:color w:val="000000"/>
          <w:szCs w:val="18"/>
        </w:rPr>
        <w:t>1% artistique</w:t>
      </w:r>
    </w:p>
    <w:p w:rsidR="00135559" w:rsidRPr="0014646F" w:rsidRDefault="00135559" w:rsidP="00135559">
      <w:pPr>
        <w:tabs>
          <w:tab w:val="left" w:pos="720"/>
          <w:tab w:val="left" w:pos="1260"/>
          <w:tab w:val="left" w:pos="1440"/>
          <w:tab w:val="left" w:pos="1800"/>
        </w:tabs>
        <w:rPr>
          <w:rFonts w:cs="Arial"/>
          <w:color w:val="000000"/>
          <w:sz w:val="16"/>
          <w:szCs w:val="16"/>
        </w:rPr>
      </w:pPr>
    </w:p>
    <w:p w:rsidR="00135559" w:rsidRDefault="00135559" w:rsidP="00135559">
      <w:pPr>
        <w:tabs>
          <w:tab w:val="left" w:pos="720"/>
          <w:tab w:val="left" w:pos="1260"/>
          <w:tab w:val="left" w:pos="1440"/>
          <w:tab w:val="left" w:pos="1800"/>
        </w:tabs>
        <w:rPr>
          <w:rFonts w:cs="Arial"/>
          <w:color w:val="000000"/>
          <w:szCs w:val="18"/>
        </w:rPr>
      </w:pPr>
      <w:r w:rsidRPr="00790C64">
        <w:rPr>
          <w:rFonts w:cs="Arial"/>
          <w:color w:val="000000"/>
          <w:szCs w:val="18"/>
        </w:rPr>
        <w:t xml:space="preserve">La mission intègre les obligations relatives à </w:t>
      </w:r>
      <w:smartTag w:uri="urn:schemas-microsoft-com:office:smarttags" w:element="PersonName">
        <w:smartTagPr>
          <w:attr w:name="ProductID" w:val="la Coordination"/>
        </w:smartTagPr>
        <w:r w:rsidRPr="00790C64">
          <w:rPr>
            <w:rFonts w:cs="Arial"/>
            <w:color w:val="000000"/>
            <w:szCs w:val="18"/>
          </w:rPr>
          <w:t>la Coordination</w:t>
        </w:r>
      </w:smartTag>
      <w:r w:rsidRPr="00790C64">
        <w:rPr>
          <w:rFonts w:cs="Arial"/>
          <w:color w:val="000000"/>
          <w:szCs w:val="18"/>
        </w:rPr>
        <w:t xml:space="preserve"> des Systèmes de Sécurité Incendie (CSSI)</w:t>
      </w:r>
      <w:r>
        <w:rPr>
          <w:rFonts w:cs="Arial"/>
          <w:color w:val="000000"/>
          <w:szCs w:val="18"/>
        </w:rPr>
        <w:t xml:space="preserve"> </w:t>
      </w:r>
      <w:r w:rsidRPr="00790C64">
        <w:rPr>
          <w:rFonts w:cs="Arial"/>
          <w:color w:val="000000"/>
          <w:szCs w:val="18"/>
        </w:rPr>
        <w:t xml:space="preserve">au sens de la norme NFS </w:t>
      </w:r>
      <w:smartTag w:uri="urn:schemas-microsoft-com:office:smarttags" w:element="metricconverter">
        <w:smartTagPr>
          <w:attr w:name="ProductID" w:val="61932. A"/>
        </w:smartTagPr>
        <w:r w:rsidRPr="00790C64">
          <w:rPr>
            <w:rFonts w:cs="Arial"/>
            <w:color w:val="000000"/>
            <w:szCs w:val="18"/>
          </w:rPr>
          <w:t>61932. A</w:t>
        </w:r>
      </w:smartTag>
      <w:r w:rsidRPr="00790C64">
        <w:rPr>
          <w:rFonts w:cs="Arial"/>
          <w:color w:val="000000"/>
          <w:szCs w:val="18"/>
        </w:rPr>
        <w:t xml:space="preserve"> ce titre, le maître d’œuvre assure la fonction de coordonnateur SSI.</w:t>
      </w:r>
    </w:p>
    <w:p w:rsidR="005633AA" w:rsidRPr="00E926EB" w:rsidRDefault="005633AA" w:rsidP="006F23E2">
      <w:pPr>
        <w:rPr>
          <w:rFonts w:cs="Arial"/>
          <w:sz w:val="10"/>
          <w:szCs w:val="10"/>
          <w:highlight w:val="cyan"/>
        </w:rPr>
      </w:pPr>
    </w:p>
    <w:p w:rsidR="00135559" w:rsidRPr="0036200F" w:rsidRDefault="00135559" w:rsidP="00135559">
      <w:pPr>
        <w:rPr>
          <w:rFonts w:cs="Verdana"/>
          <w:bCs/>
          <w:szCs w:val="18"/>
        </w:rPr>
      </w:pPr>
      <w:r w:rsidRPr="0036200F">
        <w:rPr>
          <w:rFonts w:cs="Verdana"/>
          <w:bCs/>
          <w:szCs w:val="18"/>
        </w:rPr>
        <w:t>Le détail des missions ainsi énumérées est précisé dans le CCTP de l’accord-cadre.</w:t>
      </w:r>
    </w:p>
    <w:p w:rsidR="002A56AC" w:rsidRDefault="00135559" w:rsidP="006F23E2">
      <w:pPr>
        <w:rPr>
          <w:rFonts w:cs="Arial"/>
          <w:szCs w:val="18"/>
        </w:rPr>
      </w:pPr>
      <w:r>
        <w:rPr>
          <w:rFonts w:cs="Verdana"/>
          <w:szCs w:val="18"/>
        </w:rPr>
        <w:t xml:space="preserve">Les prestations sont exécutées </w:t>
      </w:r>
      <w:r w:rsidRPr="00B0074B">
        <w:rPr>
          <w:rFonts w:cs="Verdana"/>
          <w:szCs w:val="18"/>
        </w:rPr>
        <w:t>conformément aux prescriptions du</w:t>
      </w:r>
      <w:r w:rsidRPr="00B0074B">
        <w:rPr>
          <w:rFonts w:cs="Arial"/>
          <w:szCs w:val="18"/>
        </w:rPr>
        <w:t xml:space="preserve"> CCTP et </w:t>
      </w:r>
      <w:r>
        <w:rPr>
          <w:rFonts w:cs="Arial"/>
          <w:szCs w:val="18"/>
        </w:rPr>
        <w:t xml:space="preserve">ses </w:t>
      </w:r>
      <w:r w:rsidRPr="00B0074B">
        <w:rPr>
          <w:rFonts w:cs="Arial"/>
          <w:szCs w:val="18"/>
        </w:rPr>
        <w:t>annexe(s).</w:t>
      </w:r>
    </w:p>
    <w:p w:rsidR="00135559" w:rsidRPr="005946CF" w:rsidRDefault="00135559" w:rsidP="00135559">
      <w:pPr>
        <w:pStyle w:val="Titre2"/>
      </w:pPr>
      <w:bookmarkStart w:id="82" w:name="_Toc119597374"/>
      <w:bookmarkStart w:id="83" w:name="_Toc148692600"/>
      <w:r w:rsidRPr="005946CF">
        <w:t>6.2 Livrables attendus et délais d’exécution</w:t>
      </w:r>
      <w:bookmarkEnd w:id="82"/>
      <w:bookmarkEnd w:id="83"/>
      <w:r>
        <w:t xml:space="preserve">  </w:t>
      </w:r>
    </w:p>
    <w:p w:rsidR="00135559" w:rsidRDefault="007B6467" w:rsidP="00135559">
      <w:pPr>
        <w:autoSpaceDE w:val="0"/>
        <w:autoSpaceDN w:val="0"/>
        <w:adjustRightInd w:val="0"/>
        <w:rPr>
          <w:szCs w:val="18"/>
        </w:rPr>
      </w:pPr>
      <w:r w:rsidRPr="00C9053E">
        <w:rPr>
          <w:szCs w:val="18"/>
        </w:rPr>
        <w:t>Les délais concernant la réalisation des prestations des différents MS sont précisés dans ceux-ci.</w:t>
      </w:r>
    </w:p>
    <w:p w:rsidR="007B6467" w:rsidRDefault="007B6467" w:rsidP="00135559">
      <w:pPr>
        <w:autoSpaceDE w:val="0"/>
        <w:autoSpaceDN w:val="0"/>
        <w:adjustRightInd w:val="0"/>
        <w:rPr>
          <w:rFonts w:cs="Arial Narrow"/>
          <w:color w:val="000000"/>
          <w:szCs w:val="18"/>
        </w:rPr>
      </w:pPr>
    </w:p>
    <w:p w:rsidR="00135559" w:rsidRDefault="00135559" w:rsidP="00135559">
      <w:pPr>
        <w:autoSpaceDE w:val="0"/>
        <w:autoSpaceDN w:val="0"/>
        <w:adjustRightInd w:val="0"/>
        <w:rPr>
          <w:rFonts w:cs="Arial Narrow"/>
          <w:color w:val="000000"/>
          <w:szCs w:val="18"/>
        </w:rPr>
      </w:pPr>
      <w:r w:rsidRPr="008E448A">
        <w:rPr>
          <w:rFonts w:cs="Arial Narrow"/>
          <w:color w:val="000000"/>
          <w:szCs w:val="18"/>
        </w:rPr>
        <w:t>Le maître d’œuvre remet dans les délais l’ensemble des pièces nécessaires pour la validation des études correspondantes à chaque élément de mission.</w:t>
      </w:r>
    </w:p>
    <w:p w:rsidR="00135559" w:rsidRPr="008E448A" w:rsidRDefault="00135559" w:rsidP="00135559">
      <w:pPr>
        <w:autoSpaceDE w:val="0"/>
        <w:autoSpaceDN w:val="0"/>
        <w:adjustRightInd w:val="0"/>
        <w:rPr>
          <w:rFonts w:cs="Arial Narrow"/>
          <w:color w:val="000000"/>
          <w:szCs w:val="18"/>
        </w:rPr>
      </w:pPr>
    </w:p>
    <w:p w:rsidR="00135559" w:rsidRPr="008E448A" w:rsidRDefault="00135559" w:rsidP="00135559">
      <w:pPr>
        <w:autoSpaceDE w:val="0"/>
        <w:autoSpaceDN w:val="0"/>
        <w:adjustRightInd w:val="0"/>
        <w:rPr>
          <w:rFonts w:cs="Arial Narrow"/>
          <w:color w:val="000000"/>
          <w:szCs w:val="18"/>
        </w:rPr>
      </w:pPr>
      <w:r w:rsidRPr="008E448A">
        <w:rPr>
          <w:rFonts w:cs="Arial Narrow"/>
          <w:color w:val="000000"/>
          <w:szCs w:val="18"/>
        </w:rPr>
        <w:t>La remise de version intermédiaire ou provisoire est envisageable mais elle sert de base de travail. Des échanges entre les parties donnent lieu à recadrage et complément d’études dans les délais impartis.</w:t>
      </w:r>
    </w:p>
    <w:p w:rsidR="00135559" w:rsidRPr="008E448A" w:rsidRDefault="00135559" w:rsidP="00135559">
      <w:pPr>
        <w:autoSpaceDE w:val="0"/>
        <w:autoSpaceDN w:val="0"/>
        <w:adjustRightInd w:val="0"/>
        <w:rPr>
          <w:rFonts w:cs="Arial Narrow"/>
          <w:color w:val="000000"/>
          <w:szCs w:val="18"/>
        </w:rPr>
      </w:pPr>
      <w:r w:rsidRPr="008E448A">
        <w:rPr>
          <w:rFonts w:cs="Arial Narrow"/>
          <w:color w:val="000000"/>
          <w:szCs w:val="18"/>
        </w:rPr>
        <w:t>Aix-Marseille Université peut fixer expressément des délais intermédiaires pour chaque élément de mission. Le maître d’œuvre devra s’y conformer.</w:t>
      </w:r>
    </w:p>
    <w:p w:rsidR="00135559" w:rsidRPr="008E448A" w:rsidRDefault="00135559" w:rsidP="00135559">
      <w:pPr>
        <w:autoSpaceDE w:val="0"/>
        <w:autoSpaceDN w:val="0"/>
        <w:adjustRightInd w:val="0"/>
        <w:rPr>
          <w:rFonts w:cs="Arial Narrow"/>
          <w:color w:val="000000"/>
          <w:szCs w:val="18"/>
        </w:rPr>
      </w:pPr>
      <w:r w:rsidRPr="008E448A">
        <w:rPr>
          <w:rFonts w:cs="Arial Narrow"/>
          <w:color w:val="000000"/>
          <w:szCs w:val="18"/>
        </w:rPr>
        <w:t>La version définitive des documents d’études est remise par le maître d’œuvre au maître de l’ouvrage pour vérification et notification d’une décision expresse de réception.</w:t>
      </w:r>
    </w:p>
    <w:p w:rsidR="00135559" w:rsidRPr="008E448A" w:rsidRDefault="00135559" w:rsidP="00135559">
      <w:pPr>
        <w:spacing w:after="160" w:line="259" w:lineRule="auto"/>
        <w:rPr>
          <w:rFonts w:eastAsia="Calibri" w:cs="Arial Narrow"/>
          <w:bCs/>
          <w:color w:val="000000"/>
          <w:szCs w:val="18"/>
          <w:lang w:eastAsia="en-US"/>
        </w:rPr>
      </w:pPr>
      <w:r w:rsidRPr="008E448A">
        <w:rPr>
          <w:rFonts w:eastAsia="Calibri" w:cs="Arial Narrow"/>
          <w:bCs/>
          <w:color w:val="000000"/>
          <w:szCs w:val="18"/>
          <w:lang w:eastAsia="en-US"/>
        </w:rPr>
        <w:t>Le non-respect de ces délais entraîne l’application de pénalités de retard.</w:t>
      </w:r>
    </w:p>
    <w:p w:rsidR="00135559" w:rsidRPr="008E448A" w:rsidRDefault="00135559" w:rsidP="00135559">
      <w:pPr>
        <w:spacing w:after="160" w:line="259" w:lineRule="auto"/>
        <w:rPr>
          <w:rFonts w:eastAsia="Calibri" w:cs="Arial Narrow"/>
          <w:bCs/>
          <w:color w:val="000000"/>
          <w:szCs w:val="18"/>
          <w:lang w:eastAsia="en-US"/>
        </w:rPr>
      </w:pPr>
      <w:r w:rsidRPr="008E448A">
        <w:rPr>
          <w:rFonts w:eastAsia="Calibri" w:cs="Arial Narrow"/>
          <w:bCs/>
          <w:color w:val="000000"/>
          <w:szCs w:val="18"/>
          <w:lang w:eastAsia="en-US"/>
        </w:rPr>
        <w:t>Les délais de remise de certains documents ou de réalisation de certaines actions qui ne peuvent être déterminés au moment de la conclusion du marché seront fixés par décision du maître d’ouvrage en cours d’exécution.</w:t>
      </w:r>
    </w:p>
    <w:p w:rsidR="00135559" w:rsidRDefault="00135559" w:rsidP="00135559">
      <w:pPr>
        <w:spacing w:after="160" w:line="259" w:lineRule="auto"/>
        <w:rPr>
          <w:rFonts w:eastAsia="Calibri" w:cs="Arial Narrow"/>
          <w:bCs/>
          <w:color w:val="000000"/>
          <w:szCs w:val="18"/>
          <w:lang w:eastAsia="en-US"/>
        </w:rPr>
      </w:pPr>
      <w:r w:rsidRPr="008E448A">
        <w:rPr>
          <w:rFonts w:eastAsia="Calibri" w:cs="Arial Narrow"/>
          <w:bCs/>
          <w:color w:val="000000"/>
          <w:szCs w:val="18"/>
          <w:lang w:eastAsia="en-US"/>
        </w:rPr>
        <w:t>Le maître d’œuvre remet dans les délais l’ensemble des pièces nécessaires pour la validation des études correspondantes à chaque élément de mission.</w:t>
      </w:r>
    </w:p>
    <w:p w:rsidR="00135559" w:rsidRPr="00790C64" w:rsidRDefault="00135559" w:rsidP="00135559">
      <w:pPr>
        <w:pStyle w:val="Txttitre2"/>
        <w:spacing w:before="0" w:line="240" w:lineRule="auto"/>
        <w:ind w:left="0"/>
        <w:rPr>
          <w:rFonts w:ascii="Verdana" w:hAnsi="Verdana" w:cs="Arial"/>
          <w:szCs w:val="18"/>
        </w:rPr>
      </w:pPr>
      <w:bookmarkStart w:id="84" w:name="_Toc374325321"/>
      <w:bookmarkStart w:id="85" w:name="_Toc374413893"/>
      <w:bookmarkStart w:id="86" w:name="_Toc374413949"/>
      <w:bookmarkStart w:id="87" w:name="_Toc375977243"/>
      <w:bookmarkStart w:id="88" w:name="_Toc422191584"/>
      <w:bookmarkStart w:id="89" w:name="_Toc423148678"/>
      <w:bookmarkStart w:id="90" w:name="_Toc423340701"/>
      <w:bookmarkStart w:id="91" w:name="_Toc463768569"/>
      <w:bookmarkStart w:id="92" w:name="_Toc463831931"/>
      <w:bookmarkStart w:id="93" w:name="_Toc474120924"/>
      <w:bookmarkStart w:id="94" w:name="_Toc475503203"/>
      <w:bookmarkStart w:id="95" w:name="_Toc477231881"/>
      <w:r w:rsidRPr="00790C64">
        <w:rPr>
          <w:rFonts w:ascii="Verdana" w:hAnsi="Verdana" w:cs="Arial"/>
          <w:szCs w:val="18"/>
        </w:rPr>
        <w:t>Par dérogation à l’</w:t>
      </w:r>
      <w:r>
        <w:rPr>
          <w:rFonts w:ascii="Verdana" w:hAnsi="Verdana" w:cs="Arial"/>
          <w:szCs w:val="18"/>
        </w:rPr>
        <w:t>article 28.4.2 du CCAG MOE., le M</w:t>
      </w:r>
      <w:r w:rsidRPr="00790C64">
        <w:rPr>
          <w:rFonts w:ascii="Verdana" w:hAnsi="Verdana" w:cs="Arial"/>
          <w:szCs w:val="18"/>
        </w:rPr>
        <w:t xml:space="preserve">aître d’œuvre est </w:t>
      </w:r>
      <w:r>
        <w:rPr>
          <w:rFonts w:ascii="Verdana" w:hAnsi="Verdana" w:cs="Arial"/>
          <w:szCs w:val="18"/>
        </w:rPr>
        <w:t>dispensé d’aviser par écrit le Maître d</w:t>
      </w:r>
      <w:r w:rsidRPr="00790C64">
        <w:rPr>
          <w:rFonts w:ascii="Verdana" w:hAnsi="Verdana" w:cs="Arial"/>
          <w:szCs w:val="18"/>
        </w:rPr>
        <w:t>’ouvrage de la date à laquelle les documents lui seront présentés.</w:t>
      </w:r>
    </w:p>
    <w:p w:rsidR="00135559" w:rsidRPr="0005345D" w:rsidRDefault="00135559" w:rsidP="00135559">
      <w:pPr>
        <w:pStyle w:val="Txttitre2"/>
        <w:spacing w:before="0" w:line="240" w:lineRule="auto"/>
        <w:ind w:left="0"/>
        <w:rPr>
          <w:rFonts w:ascii="Verdana" w:hAnsi="Verdana" w:cs="Arial"/>
          <w:sz w:val="16"/>
          <w:szCs w:val="16"/>
        </w:rPr>
      </w:pPr>
    </w:p>
    <w:p w:rsidR="00135559" w:rsidRDefault="00135559" w:rsidP="00135559">
      <w:pPr>
        <w:pStyle w:val="Txttitre2"/>
        <w:spacing w:before="0" w:line="240" w:lineRule="auto"/>
        <w:ind w:left="0"/>
        <w:rPr>
          <w:rFonts w:ascii="Verdana" w:hAnsi="Verdana" w:cs="Arial"/>
          <w:szCs w:val="18"/>
        </w:rPr>
      </w:pPr>
      <w:r>
        <w:rPr>
          <w:rFonts w:ascii="Verdana" w:hAnsi="Verdana" w:cs="Arial"/>
          <w:szCs w:val="18"/>
        </w:rPr>
        <w:lastRenderedPageBreak/>
        <w:t>Les documents dus par le M</w:t>
      </w:r>
      <w:r w:rsidRPr="00790C64">
        <w:rPr>
          <w:rFonts w:ascii="Verdana" w:hAnsi="Verdana" w:cs="Arial"/>
          <w:szCs w:val="18"/>
        </w:rPr>
        <w:t>aître d’œuvre dans le cadre de sa mission, sont remis en une seule fois, à chaque échéance définie à l’acte d’engagem</w:t>
      </w:r>
      <w:r>
        <w:rPr>
          <w:rFonts w:ascii="Verdana" w:hAnsi="Verdana" w:cs="Arial"/>
          <w:szCs w:val="18"/>
        </w:rPr>
        <w:t>ent, au M</w:t>
      </w:r>
      <w:r w:rsidRPr="00790C64">
        <w:rPr>
          <w:rFonts w:ascii="Verdana" w:hAnsi="Verdana" w:cs="Arial"/>
          <w:szCs w:val="18"/>
        </w:rPr>
        <w:t>aître de l’ouvrage en ses bureaux, dans les conditions suivantes :</w:t>
      </w:r>
      <w:bookmarkEnd w:id="84"/>
      <w:bookmarkEnd w:id="85"/>
      <w:bookmarkEnd w:id="86"/>
      <w:bookmarkEnd w:id="87"/>
      <w:bookmarkEnd w:id="88"/>
      <w:bookmarkEnd w:id="89"/>
      <w:bookmarkEnd w:id="90"/>
      <w:bookmarkEnd w:id="91"/>
      <w:bookmarkEnd w:id="92"/>
      <w:bookmarkEnd w:id="93"/>
      <w:bookmarkEnd w:id="94"/>
      <w:bookmarkEnd w:id="95"/>
      <w:r w:rsidRPr="00790C64">
        <w:rPr>
          <w:rFonts w:ascii="Verdana" w:hAnsi="Verdana" w:cs="Arial"/>
          <w:szCs w:val="18"/>
        </w:rPr>
        <w:t xml:space="preserve"> </w:t>
      </w:r>
    </w:p>
    <w:p w:rsidR="00135559" w:rsidRPr="006169FE" w:rsidRDefault="00135559" w:rsidP="00135559">
      <w:pPr>
        <w:pStyle w:val="Txttitre2"/>
        <w:spacing w:before="0" w:line="240" w:lineRule="auto"/>
        <w:ind w:left="0"/>
        <w:rPr>
          <w:rFonts w:ascii="Verdana" w:hAnsi="Verdana" w:cs="Arial"/>
          <w:sz w:val="16"/>
          <w:szCs w:val="16"/>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8"/>
      </w:tblGrid>
      <w:tr w:rsidR="00135559" w:rsidRPr="00790C64" w:rsidTr="00EF7E3E">
        <w:trPr>
          <w:trHeight w:val="1134"/>
          <w:jc w:val="center"/>
        </w:trPr>
        <w:tc>
          <w:tcPr>
            <w:tcW w:w="9638" w:type="dxa"/>
            <w:tcBorders>
              <w:bottom w:val="nil"/>
            </w:tcBorders>
            <w:vAlign w:val="center"/>
          </w:tcPr>
          <w:p w:rsidR="00135559" w:rsidRPr="00583403" w:rsidRDefault="00135559" w:rsidP="00EF7E3E">
            <w:bookmarkStart w:id="96" w:name="_Toc133586074"/>
            <w:bookmarkStart w:id="97" w:name="_Toc133586570"/>
            <w:bookmarkStart w:id="98" w:name="_Toc133586649"/>
            <w:bookmarkStart w:id="99" w:name="_Toc133586818"/>
            <w:r w:rsidRPr="00583403">
              <w:t>Dossier</w:t>
            </w:r>
            <w:r>
              <w:t>s DIAG, APD et PRO</w:t>
            </w:r>
            <w:bookmarkEnd w:id="96"/>
            <w:bookmarkEnd w:id="97"/>
            <w:bookmarkEnd w:id="98"/>
            <w:bookmarkEnd w:id="99"/>
            <w:r>
              <w:t xml:space="preserve"> </w:t>
            </w:r>
          </w:p>
          <w:p w:rsidR="00135559" w:rsidRDefault="00135559" w:rsidP="008F2B6A">
            <w:pPr>
              <w:numPr>
                <w:ilvl w:val="0"/>
                <w:numId w:val="14"/>
              </w:numPr>
            </w:pPr>
            <w:r>
              <w:rPr>
                <w:rFonts w:cs="Arial"/>
              </w:rPr>
              <w:t xml:space="preserve">Deux </w:t>
            </w:r>
            <w:r w:rsidRPr="00583403">
              <w:rPr>
                <w:rFonts w:cs="Arial"/>
              </w:rPr>
              <w:t>(</w:t>
            </w:r>
            <w:r>
              <w:rPr>
                <w:rFonts w:cs="Arial"/>
              </w:rPr>
              <w:t>2</w:t>
            </w:r>
            <w:r w:rsidRPr="00583403">
              <w:rPr>
                <w:rFonts w:cs="Arial"/>
              </w:rPr>
              <w:t>) dossier</w:t>
            </w:r>
            <w:r>
              <w:rPr>
                <w:rFonts w:cs="Arial"/>
              </w:rPr>
              <w:t>s</w:t>
            </w:r>
            <w:r w:rsidRPr="00583403">
              <w:rPr>
                <w:rFonts w:cs="Arial"/>
              </w:rPr>
              <w:t xml:space="preserve"> comprenant l’ensemble des pièces écrites et des plans </w:t>
            </w:r>
            <w:r>
              <w:rPr>
                <w:rFonts w:cs="Arial"/>
              </w:rPr>
              <w:t xml:space="preserve">format A0 ou A1 </w:t>
            </w:r>
            <w:r w:rsidRPr="00583403">
              <w:rPr>
                <w:rFonts w:cs="Arial"/>
              </w:rPr>
              <w:t>(pliés au format A4) sous chemises cartonnées à sangles avec identification du projet en c</w:t>
            </w:r>
            <w:r>
              <w:rPr>
                <w:rFonts w:cs="Arial"/>
              </w:rPr>
              <w:t>ouverture + liste des documents.</w:t>
            </w:r>
          </w:p>
          <w:p w:rsidR="00135559" w:rsidRDefault="00135559" w:rsidP="008F2B6A">
            <w:pPr>
              <w:numPr>
                <w:ilvl w:val="0"/>
                <w:numId w:val="14"/>
              </w:numPr>
            </w:pPr>
            <w:r w:rsidRPr="00253797">
              <w:rPr>
                <w:rFonts w:cs="Arial"/>
              </w:rPr>
              <w:t>1 CD ou clé USB du dossier</w:t>
            </w:r>
          </w:p>
          <w:p w:rsidR="00135559" w:rsidRPr="00583403" w:rsidRDefault="00135559" w:rsidP="008F2B6A">
            <w:pPr>
              <w:numPr>
                <w:ilvl w:val="0"/>
                <w:numId w:val="14"/>
              </w:numPr>
            </w:pPr>
            <w:r w:rsidRPr="00253797">
              <w:rPr>
                <w:rFonts w:cs="Arial"/>
              </w:rPr>
              <w:t xml:space="preserve">Un jeu complet de plans, éventuellement réduits, au format A3 </w:t>
            </w:r>
          </w:p>
        </w:tc>
      </w:tr>
      <w:tr w:rsidR="00135559" w:rsidRPr="00790C64" w:rsidTr="00EF7E3E">
        <w:trPr>
          <w:trHeight w:val="1949"/>
          <w:jc w:val="center"/>
        </w:trPr>
        <w:tc>
          <w:tcPr>
            <w:tcW w:w="9638" w:type="dxa"/>
            <w:tcBorders>
              <w:bottom w:val="nil"/>
            </w:tcBorders>
            <w:vAlign w:val="center"/>
          </w:tcPr>
          <w:p w:rsidR="00135559" w:rsidRDefault="00135559" w:rsidP="00EF7E3E">
            <w:bookmarkStart w:id="100" w:name="_Toc133586076"/>
            <w:bookmarkStart w:id="101" w:name="_Toc133586572"/>
            <w:bookmarkStart w:id="102" w:name="_Toc133586651"/>
            <w:bookmarkStart w:id="103" w:name="_Toc133586820"/>
            <w:r w:rsidRPr="00583403">
              <w:t>Dossier DCE</w:t>
            </w:r>
            <w:bookmarkEnd w:id="100"/>
            <w:bookmarkEnd w:id="101"/>
            <w:bookmarkEnd w:id="102"/>
            <w:bookmarkEnd w:id="103"/>
          </w:p>
          <w:p w:rsidR="00135559" w:rsidRPr="0004745E" w:rsidRDefault="00135559" w:rsidP="008F2B6A">
            <w:pPr>
              <w:numPr>
                <w:ilvl w:val="0"/>
                <w:numId w:val="15"/>
              </w:numPr>
            </w:pPr>
            <w:bookmarkStart w:id="104" w:name="_Toc133586077"/>
            <w:bookmarkStart w:id="105" w:name="_Toc133586573"/>
            <w:bookmarkStart w:id="106" w:name="_Toc133586652"/>
            <w:bookmarkStart w:id="107" w:name="_Toc133586821"/>
            <w:r>
              <w:t>Deux</w:t>
            </w:r>
            <w:r w:rsidRPr="0004745E">
              <w:t xml:space="preserve"> (</w:t>
            </w:r>
            <w:r>
              <w:t>2</w:t>
            </w:r>
            <w:r w:rsidRPr="0004745E">
              <w:t xml:space="preserve">) dossiers comprenant l’ensemble des pièces écrites et des plans </w:t>
            </w:r>
            <w:r>
              <w:t xml:space="preserve">format A0 ou A1 </w:t>
            </w:r>
            <w:r w:rsidRPr="0004745E">
              <w:t>(pliés au format A4) sous chemises cartonnées à sangles avec identification du projet en couverture + liste des documents.</w:t>
            </w:r>
            <w:bookmarkEnd w:id="104"/>
            <w:bookmarkEnd w:id="105"/>
            <w:bookmarkEnd w:id="106"/>
            <w:bookmarkEnd w:id="107"/>
          </w:p>
          <w:p w:rsidR="00135559" w:rsidRDefault="00135559" w:rsidP="008F2B6A">
            <w:pPr>
              <w:numPr>
                <w:ilvl w:val="0"/>
                <w:numId w:val="15"/>
              </w:numPr>
            </w:pPr>
            <w:r w:rsidRPr="0004745E">
              <w:t>Un exemplaire reproductible (non relié, non agrafé) des pièces écrites.</w:t>
            </w:r>
          </w:p>
          <w:p w:rsidR="00135559" w:rsidRDefault="00135559" w:rsidP="008F2B6A">
            <w:pPr>
              <w:numPr>
                <w:ilvl w:val="0"/>
                <w:numId w:val="15"/>
              </w:numPr>
            </w:pPr>
            <w:r w:rsidRPr="0004745E">
              <w:t>Un jeu de plans réduits sur format A3</w:t>
            </w:r>
          </w:p>
          <w:p w:rsidR="00135559" w:rsidRPr="0004745E" w:rsidRDefault="00135559" w:rsidP="008F2B6A">
            <w:pPr>
              <w:numPr>
                <w:ilvl w:val="0"/>
                <w:numId w:val="15"/>
              </w:numPr>
            </w:pPr>
            <w:r>
              <w:t>2</w:t>
            </w:r>
            <w:r w:rsidRPr="0004745E">
              <w:t xml:space="preserve"> CD contenant tous les plans et documents graphiques au format DXF et pouvant être utilisée avec le logiciel AUTOCAD </w:t>
            </w:r>
            <w:r>
              <w:t xml:space="preserve">2000 </w:t>
            </w:r>
            <w:r w:rsidRPr="0004745E">
              <w:t>et le logiciel ARCHICAD,</w:t>
            </w:r>
          </w:p>
          <w:p w:rsidR="00135559" w:rsidRPr="006169FE" w:rsidRDefault="00135559" w:rsidP="00EF7E3E">
            <w:pPr>
              <w:ind w:left="360"/>
            </w:pPr>
          </w:p>
        </w:tc>
      </w:tr>
      <w:tr w:rsidR="00135559" w:rsidRPr="00790C64" w:rsidTr="00EF7E3E">
        <w:trPr>
          <w:trHeight w:val="680"/>
          <w:jc w:val="center"/>
        </w:trPr>
        <w:tc>
          <w:tcPr>
            <w:tcW w:w="9638" w:type="dxa"/>
            <w:vAlign w:val="center"/>
          </w:tcPr>
          <w:p w:rsidR="00135559" w:rsidRPr="00583403" w:rsidRDefault="00135559" w:rsidP="00EF7E3E">
            <w:bookmarkStart w:id="108" w:name="_Toc133586078"/>
            <w:bookmarkStart w:id="109" w:name="_Toc133586574"/>
            <w:bookmarkStart w:id="110" w:name="_Toc133586653"/>
            <w:bookmarkStart w:id="111" w:name="_Toc133586822"/>
            <w:r w:rsidRPr="00583403">
              <w:t>Rapport analyse des offres</w:t>
            </w:r>
            <w:bookmarkEnd w:id="108"/>
            <w:bookmarkEnd w:id="109"/>
            <w:bookmarkEnd w:id="110"/>
            <w:bookmarkEnd w:id="111"/>
          </w:p>
          <w:p w:rsidR="00135559" w:rsidRDefault="00135559" w:rsidP="008F2B6A">
            <w:pPr>
              <w:numPr>
                <w:ilvl w:val="0"/>
                <w:numId w:val="16"/>
              </w:numPr>
            </w:pPr>
            <w:bookmarkStart w:id="112" w:name="_Toc133586079"/>
            <w:bookmarkStart w:id="113" w:name="_Toc133586575"/>
            <w:bookmarkStart w:id="114" w:name="_Toc133586654"/>
            <w:bookmarkStart w:id="115" w:name="_Toc133586823"/>
            <w:r>
              <w:t>D</w:t>
            </w:r>
            <w:r w:rsidRPr="00583403">
              <w:t xml:space="preserve">eux (2) exemplaires du rapport signé par le maître d’œuvre (selon modèle fourni par la </w:t>
            </w:r>
            <w:r>
              <w:t>DDPI</w:t>
            </w:r>
            <w:r w:rsidRPr="00583403">
              <w:t xml:space="preserve"> de l’Université)</w:t>
            </w:r>
            <w:bookmarkEnd w:id="112"/>
            <w:bookmarkEnd w:id="113"/>
            <w:bookmarkEnd w:id="114"/>
            <w:bookmarkEnd w:id="115"/>
          </w:p>
          <w:p w:rsidR="00135559" w:rsidRPr="00583403" w:rsidRDefault="00135559" w:rsidP="00EF7E3E">
            <w:pPr>
              <w:ind w:left="720"/>
            </w:pPr>
          </w:p>
        </w:tc>
      </w:tr>
      <w:tr w:rsidR="00135559" w:rsidRPr="00790C64" w:rsidTr="00EF7E3E">
        <w:trPr>
          <w:trHeight w:val="1417"/>
          <w:jc w:val="center"/>
        </w:trPr>
        <w:tc>
          <w:tcPr>
            <w:tcW w:w="9638" w:type="dxa"/>
            <w:tcBorders>
              <w:bottom w:val="single" w:sz="4" w:space="0" w:color="auto"/>
            </w:tcBorders>
            <w:vAlign w:val="center"/>
          </w:tcPr>
          <w:p w:rsidR="00135559" w:rsidRPr="00583403" w:rsidRDefault="00135559" w:rsidP="00EF7E3E">
            <w:bookmarkStart w:id="116" w:name="_Toc133586080"/>
            <w:bookmarkStart w:id="117" w:name="_Toc133586576"/>
            <w:bookmarkStart w:id="118" w:name="_Toc133586655"/>
            <w:bookmarkStart w:id="119" w:name="_Toc133586824"/>
            <w:r w:rsidRPr="00583403">
              <w:t>Dossier DOE</w:t>
            </w:r>
            <w:bookmarkEnd w:id="116"/>
            <w:bookmarkEnd w:id="117"/>
            <w:bookmarkEnd w:id="118"/>
            <w:bookmarkEnd w:id="119"/>
          </w:p>
          <w:p w:rsidR="00135559" w:rsidRPr="00583403" w:rsidRDefault="00135559" w:rsidP="008F2B6A">
            <w:pPr>
              <w:numPr>
                <w:ilvl w:val="0"/>
                <w:numId w:val="16"/>
              </w:numPr>
            </w:pPr>
            <w:bookmarkStart w:id="120" w:name="_Toc133586081"/>
            <w:bookmarkStart w:id="121" w:name="_Toc133586577"/>
            <w:bookmarkStart w:id="122" w:name="_Toc133586656"/>
            <w:bookmarkStart w:id="123" w:name="_Toc133586825"/>
            <w:r>
              <w:t xml:space="preserve">Deux </w:t>
            </w:r>
            <w:r w:rsidRPr="00583403">
              <w:t>(</w:t>
            </w:r>
            <w:r>
              <w:t>2</w:t>
            </w:r>
            <w:r w:rsidRPr="00583403">
              <w:t xml:space="preserve">) dossiers constitués suivant article </w:t>
            </w:r>
            <w:r>
              <w:t>9</w:t>
            </w:r>
            <w:r w:rsidRPr="00C65CC5">
              <w:t>.2</w:t>
            </w:r>
            <w:r w:rsidRPr="00583403">
              <w:t xml:space="preserve"> du C</w:t>
            </w:r>
            <w:r>
              <w:t>.</w:t>
            </w:r>
            <w:r w:rsidRPr="00583403">
              <w:t>C</w:t>
            </w:r>
            <w:r>
              <w:t>.</w:t>
            </w:r>
            <w:r w:rsidRPr="00583403">
              <w:t>T</w:t>
            </w:r>
            <w:r>
              <w:t>.</w:t>
            </w:r>
            <w:r w:rsidRPr="00583403">
              <w:t>P</w:t>
            </w:r>
            <w:bookmarkEnd w:id="120"/>
            <w:bookmarkEnd w:id="121"/>
            <w:bookmarkEnd w:id="122"/>
            <w:bookmarkEnd w:id="123"/>
          </w:p>
          <w:p w:rsidR="00135559" w:rsidRPr="00583403" w:rsidRDefault="00135559" w:rsidP="008F2B6A">
            <w:pPr>
              <w:numPr>
                <w:ilvl w:val="0"/>
                <w:numId w:val="16"/>
              </w:numPr>
            </w:pPr>
            <w:r w:rsidRPr="00C77DA5">
              <w:rPr>
                <w:rFonts w:cs="Arial"/>
                <w:color w:val="000000"/>
              </w:rPr>
              <w:t>Deux (</w:t>
            </w:r>
            <w:r>
              <w:rPr>
                <w:rFonts w:cs="Arial"/>
                <w:color w:val="000000"/>
              </w:rPr>
              <w:t>2</w:t>
            </w:r>
            <w:r w:rsidRPr="00C77DA5">
              <w:rPr>
                <w:rFonts w:cs="Arial"/>
                <w:color w:val="000000"/>
              </w:rPr>
              <w:t>)</w:t>
            </w:r>
            <w:r w:rsidRPr="00583403">
              <w:rPr>
                <w:rFonts w:cs="Arial"/>
              </w:rPr>
              <w:t xml:space="preserve"> CD informatique permettant d’obtenir les plans </w:t>
            </w:r>
            <w:r w:rsidRPr="00583403">
              <w:rPr>
                <w:rFonts w:cs="Arial"/>
                <w:smallCaps/>
              </w:rPr>
              <w:t>DOE</w:t>
            </w:r>
            <w:r w:rsidRPr="00583403">
              <w:rPr>
                <w:rFonts w:cs="Arial"/>
              </w:rPr>
              <w:t xml:space="preserve"> dits « architecte » au format </w:t>
            </w:r>
            <w:r w:rsidRPr="00583403">
              <w:rPr>
                <w:rFonts w:cs="Arial"/>
                <w:smallCaps/>
              </w:rPr>
              <w:t>DXF</w:t>
            </w:r>
            <w:r w:rsidRPr="00583403">
              <w:rPr>
                <w:rFonts w:cs="Arial"/>
              </w:rPr>
              <w:t xml:space="preserve"> et pouvant être utilisée avec </w:t>
            </w:r>
            <w:r w:rsidRPr="00583403">
              <w:t xml:space="preserve">le logiciel AUTOCAD 2000 et </w:t>
            </w:r>
            <w:r w:rsidRPr="00583403">
              <w:rPr>
                <w:rFonts w:cs="Arial"/>
              </w:rPr>
              <w:t xml:space="preserve">le logiciel </w:t>
            </w:r>
            <w:r>
              <w:rPr>
                <w:rFonts w:cs="Arial"/>
                <w:smallCaps/>
              </w:rPr>
              <w:t>A</w:t>
            </w:r>
            <w:r w:rsidRPr="00583403">
              <w:rPr>
                <w:rFonts w:cs="Arial"/>
                <w:smallCaps/>
              </w:rPr>
              <w:t>RCHICAD</w:t>
            </w:r>
            <w:r w:rsidRPr="00583403">
              <w:rPr>
                <w:rFonts w:cs="Arial"/>
              </w:rPr>
              <w:t>.</w:t>
            </w:r>
          </w:p>
          <w:p w:rsidR="00135559" w:rsidRPr="00F01B06" w:rsidRDefault="00135559" w:rsidP="00EF7E3E">
            <w:pPr>
              <w:rPr>
                <w:rFonts w:cs="Arial"/>
                <w:bCs/>
                <w:sz w:val="10"/>
                <w:szCs w:val="10"/>
              </w:rPr>
            </w:pPr>
          </w:p>
          <w:p w:rsidR="00135559" w:rsidRPr="00583403" w:rsidRDefault="00135559" w:rsidP="00EF7E3E">
            <w:r w:rsidRPr="00583403">
              <w:rPr>
                <w:rFonts w:cs="Arial"/>
                <w:bCs/>
              </w:rPr>
              <w:t xml:space="preserve">Les DOE devront être conformes à la </w:t>
            </w:r>
            <w:r w:rsidRPr="00D557F8">
              <w:rPr>
                <w:rFonts w:cs="Arial"/>
                <w:bCs/>
              </w:rPr>
              <w:t>charte ABYLA</w:t>
            </w:r>
            <w:r w:rsidRPr="00583403">
              <w:rPr>
                <w:rFonts w:cs="Arial"/>
                <w:bCs/>
              </w:rPr>
              <w:t xml:space="preserve"> de l’Université.</w:t>
            </w:r>
          </w:p>
        </w:tc>
      </w:tr>
    </w:tbl>
    <w:p w:rsidR="00135559" w:rsidRPr="009D7C55" w:rsidRDefault="00135559" w:rsidP="00135559">
      <w:pPr>
        <w:pStyle w:val="Txttitre2"/>
        <w:spacing w:before="0" w:line="240" w:lineRule="auto"/>
        <w:ind w:left="0"/>
        <w:rPr>
          <w:rFonts w:ascii="Verdana" w:hAnsi="Verdana" w:cs="Arial"/>
          <w:sz w:val="16"/>
          <w:szCs w:val="16"/>
        </w:rPr>
      </w:pPr>
    </w:p>
    <w:p w:rsidR="00135559" w:rsidRDefault="00135559" w:rsidP="00135559">
      <w:r w:rsidRPr="00790C64">
        <w:t>Les dossiers de consultation sont fournis aux</w:t>
      </w:r>
      <w:r>
        <w:t xml:space="preserve"> entreprises candidates par le M</w:t>
      </w:r>
      <w:r w:rsidRPr="00790C64">
        <w:t>aître d’ouvrage (ou le prestataire ex</w:t>
      </w:r>
      <w:r>
        <w:t xml:space="preserve">térieur qu’il aura choisi). </w:t>
      </w:r>
    </w:p>
    <w:p w:rsidR="00135559" w:rsidRPr="00F01B06" w:rsidRDefault="00135559" w:rsidP="00135559">
      <w:pPr>
        <w:spacing w:line="259" w:lineRule="auto"/>
        <w:rPr>
          <w:rFonts w:eastAsia="Calibri" w:cs="Arial Narrow"/>
          <w:color w:val="000000"/>
          <w:sz w:val="10"/>
          <w:szCs w:val="10"/>
          <w:lang w:eastAsia="en-US"/>
        </w:rPr>
      </w:pPr>
    </w:p>
    <w:p w:rsidR="00135559" w:rsidRPr="008E448A" w:rsidRDefault="00135559" w:rsidP="00135559">
      <w:pPr>
        <w:spacing w:after="160" w:line="259" w:lineRule="auto"/>
        <w:rPr>
          <w:rFonts w:eastAsia="Calibri" w:cs="Arial Narrow"/>
          <w:color w:val="000000"/>
          <w:szCs w:val="18"/>
          <w:lang w:eastAsia="en-US"/>
        </w:rPr>
      </w:pPr>
      <w:r w:rsidRPr="008E448A">
        <w:rPr>
          <w:rFonts w:eastAsia="Calibri" w:cs="Arial Narrow"/>
          <w:color w:val="000000"/>
          <w:szCs w:val="18"/>
          <w:lang w:eastAsia="en-US"/>
        </w:rPr>
        <w:t xml:space="preserve">Les fichiers transmis doivent être compatibles PC, les pièces écrites doivent être compatibles avec les logiciels de type Word/Excel ; les pièces graphiques doivent être présentées sous logiciels de type </w:t>
      </w:r>
      <w:proofErr w:type="spellStart"/>
      <w:r w:rsidRPr="008E448A">
        <w:rPr>
          <w:rFonts w:eastAsia="Calibri" w:cs="Arial Narrow"/>
          <w:color w:val="000000"/>
          <w:szCs w:val="18"/>
          <w:lang w:eastAsia="en-US"/>
        </w:rPr>
        <w:t>Autocad</w:t>
      </w:r>
      <w:proofErr w:type="spellEnd"/>
      <w:r w:rsidRPr="008E448A">
        <w:rPr>
          <w:rFonts w:eastAsia="Calibri" w:cs="Arial Narrow"/>
          <w:color w:val="000000"/>
          <w:szCs w:val="18"/>
          <w:lang w:eastAsia="en-US"/>
        </w:rPr>
        <w:t xml:space="preserve"> 20</w:t>
      </w:r>
      <w:r>
        <w:rPr>
          <w:rFonts w:eastAsia="Calibri" w:cs="Arial Narrow"/>
          <w:color w:val="000000"/>
          <w:szCs w:val="18"/>
          <w:lang w:eastAsia="en-US"/>
        </w:rPr>
        <w:t xml:space="preserve">21 </w:t>
      </w:r>
      <w:r w:rsidRPr="008E448A">
        <w:rPr>
          <w:rFonts w:eastAsia="Calibri" w:cs="Arial Narrow"/>
          <w:color w:val="000000"/>
          <w:szCs w:val="18"/>
          <w:lang w:eastAsia="en-US"/>
        </w:rPr>
        <w:t>ou similaire.</w:t>
      </w:r>
    </w:p>
    <w:p w:rsidR="00135559" w:rsidRPr="00613A06" w:rsidRDefault="00135559" w:rsidP="00135559">
      <w:pPr>
        <w:spacing w:after="160" w:line="259" w:lineRule="auto"/>
        <w:rPr>
          <w:rFonts w:eastAsia="Calibri" w:cs="Arial Narrow"/>
          <w:color w:val="000000"/>
          <w:szCs w:val="18"/>
          <w:lang w:eastAsia="en-US"/>
        </w:rPr>
      </w:pPr>
      <w:r w:rsidRPr="008E448A">
        <w:rPr>
          <w:rFonts w:eastAsia="Calibri" w:cs="Arial Narrow"/>
          <w:color w:val="000000"/>
          <w:szCs w:val="18"/>
          <w:lang w:eastAsia="en-US"/>
        </w:rPr>
        <w:t>Le maître de l'ouvrage se réserve tout droit de reproduction des documents mentionnés au présent article dans le cadre de l'opération envisagée.</w:t>
      </w:r>
    </w:p>
    <w:p w:rsidR="00253797" w:rsidRPr="00135559" w:rsidRDefault="00DE747F" w:rsidP="00135559">
      <w:pPr>
        <w:rPr>
          <w:rFonts w:cs="Arial"/>
          <w:szCs w:val="18"/>
        </w:rPr>
      </w:pPr>
      <w:r w:rsidRPr="002F7873">
        <w:rPr>
          <w:rFonts w:cs="Arial"/>
          <w:szCs w:val="18"/>
        </w:rPr>
        <w:t>Il n’est</w:t>
      </w:r>
      <w:r w:rsidR="0055052D" w:rsidRPr="002F7873">
        <w:rPr>
          <w:rFonts w:cs="Arial"/>
          <w:szCs w:val="18"/>
        </w:rPr>
        <w:t xml:space="preserve"> prévu ni de retenue de garantie, ni de garantie à première demande, ni de caution personnelle et solidaire.</w:t>
      </w:r>
    </w:p>
    <w:p w:rsidR="00135559" w:rsidRPr="00A56BA1" w:rsidRDefault="00135559" w:rsidP="00135559">
      <w:pPr>
        <w:pStyle w:val="Titre2"/>
      </w:pPr>
      <w:bookmarkStart w:id="124" w:name="_Toc148692601"/>
      <w:bookmarkStart w:id="125" w:name="_Toc465261436"/>
      <w:bookmarkStart w:id="126" w:name="_Toc133586775"/>
      <w:r>
        <w:t>6.3 Prestations similaires</w:t>
      </w:r>
      <w:bookmarkEnd w:id="124"/>
      <w:r w:rsidRPr="00835565">
        <w:t xml:space="preserve"> </w:t>
      </w:r>
    </w:p>
    <w:p w:rsidR="00135559" w:rsidRDefault="00135559" w:rsidP="00135559">
      <w:pPr>
        <w:pStyle w:val="Corpsdetexte2"/>
        <w:rPr>
          <w:rFonts w:cs="Arial"/>
          <w:sz w:val="18"/>
          <w:szCs w:val="18"/>
        </w:rPr>
      </w:pPr>
      <w:r w:rsidRPr="00A56BA1">
        <w:rPr>
          <w:rFonts w:cs="Arial"/>
          <w:sz w:val="18"/>
          <w:szCs w:val="18"/>
        </w:rPr>
        <w:t xml:space="preserve">Le maître d’ouvrage se réserve la possibilité de confier ultérieurement au maître d’œuvre, en application de l'article R. 2122-7 du code de la commande publique, un ou plusieurs nouveaux marchés ayant pour objet la réalisation de prestations similaires. L’objet de ces nouveaux marchés ne peut concerner que la stricte répétition de prestations décrites dans les documents du présent marché et se rapportant à la même opération de construction, en conformité avec le projet de base. La durée pendant laquelle les nouveaux marchés publics peuvent être conclus ne peut dépasser trois ans à compter de la notification du présent marché. </w:t>
      </w:r>
    </w:p>
    <w:p w:rsidR="00135559" w:rsidRPr="005946CF" w:rsidRDefault="00135559" w:rsidP="00135559">
      <w:pPr>
        <w:pStyle w:val="Titre2"/>
      </w:pPr>
      <w:bookmarkStart w:id="127" w:name="_Toc119597377"/>
      <w:bookmarkStart w:id="128" w:name="_Toc148692602"/>
      <w:r w:rsidRPr="005946CF">
        <w:t>6.</w:t>
      </w:r>
      <w:r>
        <w:t>4</w:t>
      </w:r>
      <w:r w:rsidRPr="005946CF">
        <w:t xml:space="preserve"> Contraintes générales</w:t>
      </w:r>
      <w:bookmarkEnd w:id="127"/>
      <w:bookmarkEnd w:id="128"/>
      <w:r>
        <w:t> </w:t>
      </w:r>
    </w:p>
    <w:p w:rsidR="00135559" w:rsidRPr="00613A06" w:rsidRDefault="00135559" w:rsidP="00135559">
      <w:pPr>
        <w:rPr>
          <w:rFonts w:eastAsia="Batang" w:cs="Verdana"/>
          <w:szCs w:val="18"/>
        </w:rPr>
      </w:pPr>
      <w:r w:rsidRPr="00613A06">
        <w:rPr>
          <w:rFonts w:eastAsia="Batang" w:cs="Verdana"/>
          <w:szCs w:val="18"/>
        </w:rPr>
        <w:t xml:space="preserve">Dans le cadre des études et des travaux, le titulaire doit </w:t>
      </w:r>
      <w:r>
        <w:rPr>
          <w:rFonts w:eastAsia="Batang" w:cs="Verdana"/>
          <w:szCs w:val="18"/>
        </w:rPr>
        <w:t xml:space="preserve">notamment </w:t>
      </w:r>
      <w:r w:rsidRPr="00613A06">
        <w:rPr>
          <w:rFonts w:eastAsia="Batang" w:cs="Verdana"/>
          <w:szCs w:val="18"/>
        </w:rPr>
        <w:t xml:space="preserve">prendre en compte les contraintes liées : </w:t>
      </w:r>
    </w:p>
    <w:p w:rsidR="00135559" w:rsidRPr="00613A06" w:rsidRDefault="00135559" w:rsidP="008F2B6A">
      <w:pPr>
        <w:numPr>
          <w:ilvl w:val="0"/>
          <w:numId w:val="21"/>
        </w:numPr>
        <w:suppressAutoHyphens/>
        <w:rPr>
          <w:rFonts w:eastAsia="Batang" w:cs="Verdana"/>
          <w:szCs w:val="18"/>
        </w:rPr>
      </w:pPr>
      <w:r w:rsidRPr="00613A06">
        <w:rPr>
          <w:rFonts w:eastAsia="Batang" w:cs="Verdana"/>
          <w:szCs w:val="18"/>
        </w:rPr>
        <w:t xml:space="preserve">au maintien en fonctionnement des bâtiments existants et de ses abords, </w:t>
      </w:r>
    </w:p>
    <w:p w:rsidR="00135559" w:rsidRPr="00613A06" w:rsidRDefault="00135559" w:rsidP="008F2B6A">
      <w:pPr>
        <w:numPr>
          <w:ilvl w:val="0"/>
          <w:numId w:val="21"/>
        </w:numPr>
        <w:suppressAutoHyphens/>
        <w:rPr>
          <w:rFonts w:eastAsia="Batang" w:cs="Verdana"/>
          <w:szCs w:val="18"/>
        </w:rPr>
      </w:pPr>
      <w:r w:rsidRPr="00613A06">
        <w:rPr>
          <w:rFonts w:eastAsia="Batang" w:cs="Verdana"/>
          <w:szCs w:val="18"/>
        </w:rPr>
        <w:t xml:space="preserve">au site, </w:t>
      </w:r>
    </w:p>
    <w:p w:rsidR="00135559" w:rsidRPr="00613A06" w:rsidRDefault="00135559" w:rsidP="008F2B6A">
      <w:pPr>
        <w:numPr>
          <w:ilvl w:val="0"/>
          <w:numId w:val="21"/>
        </w:numPr>
        <w:suppressAutoHyphens/>
        <w:rPr>
          <w:rFonts w:eastAsia="Batang" w:cs="Verdana"/>
          <w:szCs w:val="18"/>
        </w:rPr>
      </w:pPr>
      <w:r w:rsidRPr="00613A06">
        <w:rPr>
          <w:rFonts w:eastAsia="Batang" w:cs="Verdana"/>
          <w:szCs w:val="18"/>
        </w:rPr>
        <w:t>aux travaux simultanés</w:t>
      </w:r>
      <w:r>
        <w:rPr>
          <w:rFonts w:eastAsia="Batang" w:cs="Verdana"/>
          <w:szCs w:val="18"/>
        </w:rPr>
        <w:t xml:space="preserve"> ne relevant pas de l’exécution du présent marché</w:t>
      </w:r>
      <w:r w:rsidRPr="00613A06">
        <w:rPr>
          <w:rFonts w:eastAsia="Batang" w:cs="Verdana"/>
          <w:szCs w:val="18"/>
        </w:rPr>
        <w:t xml:space="preserve"> se déroulant dans l’ensemble du site, </w:t>
      </w:r>
    </w:p>
    <w:p w:rsidR="00135559" w:rsidRDefault="00135559" w:rsidP="008F2B6A">
      <w:pPr>
        <w:numPr>
          <w:ilvl w:val="0"/>
          <w:numId w:val="21"/>
        </w:numPr>
        <w:suppressAutoHyphens/>
        <w:rPr>
          <w:rFonts w:eastAsia="Batang" w:cs="Verdana"/>
          <w:szCs w:val="18"/>
        </w:rPr>
      </w:pPr>
      <w:r w:rsidRPr="00613A06">
        <w:rPr>
          <w:rFonts w:eastAsia="Batang" w:cs="Verdana"/>
          <w:szCs w:val="18"/>
        </w:rPr>
        <w:t>à la présence de public aux abords du périmètre du projet tout au long des études et des travaux.</w:t>
      </w:r>
    </w:p>
    <w:p w:rsidR="00F01B06" w:rsidRPr="00613A06" w:rsidRDefault="00F01B06" w:rsidP="00F01B06">
      <w:pPr>
        <w:suppressAutoHyphens/>
        <w:ind w:left="720"/>
        <w:rPr>
          <w:rFonts w:eastAsia="Batang" w:cs="Verdana"/>
          <w:szCs w:val="18"/>
        </w:rPr>
      </w:pPr>
    </w:p>
    <w:p w:rsidR="00135559" w:rsidRPr="005946CF" w:rsidRDefault="00135559" w:rsidP="00135559">
      <w:pPr>
        <w:pStyle w:val="Titre2"/>
      </w:pPr>
      <w:bookmarkStart w:id="129" w:name="_Toc119597378"/>
      <w:bookmarkStart w:id="130" w:name="_Toc148692603"/>
      <w:r w:rsidRPr="005946CF">
        <w:t>6.</w:t>
      </w:r>
      <w:r>
        <w:t>5</w:t>
      </w:r>
      <w:r w:rsidRPr="005946CF">
        <w:t xml:space="preserve"> Conduite du projet</w:t>
      </w:r>
      <w:bookmarkEnd w:id="129"/>
      <w:bookmarkEnd w:id="130"/>
      <w:r>
        <w:t> </w:t>
      </w:r>
    </w:p>
    <w:p w:rsidR="00135559" w:rsidRDefault="00135559" w:rsidP="00135559">
      <w:r>
        <w:rPr>
          <w:rFonts w:cs="Arial"/>
          <w:szCs w:val="18"/>
        </w:rPr>
        <w:t xml:space="preserve">Le pouvoir adjudicateur met à la disposition du titulaire les informations en sa possession nécessaires pour mener à bien les prestations demandées. Le titulaire organise, en outre, les entretiens, échanges et/ou demandes d’information nécessaires pour mener à bien les prestations qui lui sont confiées. </w:t>
      </w:r>
    </w:p>
    <w:p w:rsidR="00135559" w:rsidRPr="00F01B06" w:rsidRDefault="00135559" w:rsidP="00135559">
      <w:pPr>
        <w:rPr>
          <w:rFonts w:cs="Arial"/>
          <w:sz w:val="10"/>
          <w:szCs w:val="10"/>
        </w:rPr>
      </w:pPr>
    </w:p>
    <w:p w:rsidR="00135559" w:rsidRDefault="00135559" w:rsidP="00135559">
      <w:r>
        <w:rPr>
          <w:rFonts w:cs="Arial"/>
          <w:szCs w:val="18"/>
        </w:rPr>
        <w:lastRenderedPageBreak/>
        <w:t>Toutes les demandes d'information entre le titulaire et le pouvoir adjudicateur, question et réponse, ou tout autre communication dans le cadre du marché, se font par écrit, principalement sous forme d'un message électronique ou via l’outil de dématérialisation du profil acheteur « PLACE ».</w:t>
      </w:r>
    </w:p>
    <w:p w:rsidR="00135559" w:rsidRPr="00004270" w:rsidRDefault="00135559" w:rsidP="00135559">
      <w:pPr>
        <w:rPr>
          <w:rFonts w:cs="Arial"/>
          <w:szCs w:val="18"/>
          <w:u w:val="single"/>
        </w:rPr>
      </w:pPr>
    </w:p>
    <w:p w:rsidR="00135559" w:rsidRPr="00004270" w:rsidRDefault="00135559" w:rsidP="00135559">
      <w:pPr>
        <w:ind w:firstLine="708"/>
        <w:rPr>
          <w:i/>
          <w:u w:val="single"/>
        </w:rPr>
      </w:pPr>
      <w:bookmarkStart w:id="131" w:name="_Toc119597379"/>
      <w:r w:rsidRPr="00004270">
        <w:rPr>
          <w:rFonts w:eastAsia="Verdana" w:cs="Verdana"/>
          <w:i/>
          <w:u w:val="single"/>
        </w:rPr>
        <w:t xml:space="preserve">6.5.1 - </w:t>
      </w:r>
      <w:r w:rsidRPr="00004270">
        <w:rPr>
          <w:i/>
          <w:u w:val="single"/>
        </w:rPr>
        <w:t>Forme des notifications et informations</w:t>
      </w:r>
      <w:bookmarkEnd w:id="131"/>
      <w:r w:rsidRPr="00004270">
        <w:rPr>
          <w:i/>
          <w:u w:val="single"/>
        </w:rPr>
        <w:t xml:space="preserve"> </w:t>
      </w:r>
    </w:p>
    <w:p w:rsidR="00135559" w:rsidRPr="0088162E" w:rsidRDefault="00135559" w:rsidP="00135559">
      <w:r w:rsidRPr="0088162E">
        <w:rPr>
          <w:rFonts w:cs="Arial"/>
          <w:b/>
          <w:szCs w:val="18"/>
        </w:rPr>
        <w:t>La notification</w:t>
      </w:r>
      <w:r w:rsidRPr="0088162E">
        <w:rPr>
          <w:rFonts w:cs="Arial"/>
          <w:szCs w:val="18"/>
        </w:rPr>
        <w:t xml:space="preserve"> des décisions, observations, ou informations qui font courir un délai est faite par tout moyen </w:t>
      </w:r>
      <w:r w:rsidRPr="0088162E">
        <w:rPr>
          <w:rFonts w:cs="Arial"/>
          <w:b/>
          <w:szCs w:val="18"/>
        </w:rPr>
        <w:t>matériel ou dématérialisé</w:t>
      </w:r>
      <w:r w:rsidRPr="0088162E">
        <w:rPr>
          <w:rFonts w:cs="Arial"/>
          <w:szCs w:val="18"/>
        </w:rPr>
        <w:t xml:space="preserve"> permettant de déterminer de façon certaine </w:t>
      </w:r>
      <w:r w:rsidRPr="0088162E">
        <w:rPr>
          <w:rFonts w:cs="Arial"/>
          <w:b/>
          <w:szCs w:val="18"/>
        </w:rPr>
        <w:t>la date</w:t>
      </w:r>
      <w:r w:rsidRPr="0088162E">
        <w:rPr>
          <w:rFonts w:cs="Arial"/>
          <w:szCs w:val="18"/>
        </w:rPr>
        <w:t xml:space="preserve"> et, le cas échéant, l'heure de sa réception. Cette notification peut être faite par le biais du profil d'acheteur ou à l'adresse postale ou électronique des parties.</w:t>
      </w:r>
    </w:p>
    <w:p w:rsidR="00135559" w:rsidRDefault="00135559" w:rsidP="00135559">
      <w:r w:rsidRPr="0088162E">
        <w:rPr>
          <w:rFonts w:cs="Arial"/>
          <w:szCs w:val="18"/>
        </w:rPr>
        <w:t>La date et, le cas échéant, l'heure de réception mentionnées sur un récépissé sont considérées comme celles de la notification.</w:t>
      </w:r>
    </w:p>
    <w:p w:rsidR="00135559" w:rsidRPr="00E926EB" w:rsidRDefault="00135559" w:rsidP="00135559">
      <w:pPr>
        <w:rPr>
          <w:rFonts w:cs="Arial"/>
          <w:sz w:val="10"/>
          <w:szCs w:val="10"/>
          <w:highlight w:val="cyan"/>
        </w:rPr>
      </w:pPr>
    </w:p>
    <w:p w:rsidR="00135559" w:rsidRPr="0088162E" w:rsidRDefault="00135559" w:rsidP="00135559">
      <w:r w:rsidRPr="0088162E">
        <w:rPr>
          <w:rFonts w:eastAsia="Batang" w:cs="Arial"/>
          <w:b/>
          <w:szCs w:val="18"/>
        </w:rPr>
        <w:t xml:space="preserve">Par dérogation à l’article 3.1.2 du CCAG : </w:t>
      </w:r>
    </w:p>
    <w:p w:rsidR="00135559" w:rsidRPr="0088162E" w:rsidRDefault="00135559" w:rsidP="00135559">
      <w:r w:rsidRPr="0088162E">
        <w:rPr>
          <w:rFonts w:cs="Arial"/>
          <w:szCs w:val="18"/>
        </w:rPr>
        <w:t xml:space="preserve">Lorsque la notification est effectuée par le </w:t>
      </w:r>
      <w:r w:rsidRPr="0088162E">
        <w:rPr>
          <w:rFonts w:cs="Arial"/>
          <w:szCs w:val="18"/>
          <w:u w:val="single"/>
        </w:rPr>
        <w:t>biais du profil d'acheteur</w:t>
      </w:r>
      <w:r w:rsidRPr="0088162E">
        <w:rPr>
          <w:rFonts w:cs="Arial"/>
          <w:szCs w:val="18"/>
        </w:rPr>
        <w:t xml:space="preserve">, les parties sont réputées avoir reçu cette notification </w:t>
      </w:r>
      <w:r w:rsidRPr="0088162E">
        <w:rPr>
          <w:rFonts w:cs="Arial"/>
          <w:b/>
          <w:szCs w:val="18"/>
        </w:rPr>
        <w:t>à la date de la première consultation</w:t>
      </w:r>
      <w:r w:rsidRPr="0088162E">
        <w:rPr>
          <w:rFonts w:cs="Arial"/>
          <w:szCs w:val="18"/>
        </w:rPr>
        <w:t xml:space="preserve"> du document qui leur a ainsi été adressé, certifiée par l'accusé de réception délivré par l'application informatique, </w:t>
      </w:r>
      <w:r w:rsidRPr="0088162E">
        <w:rPr>
          <w:rFonts w:cs="Arial"/>
          <w:b/>
          <w:szCs w:val="18"/>
        </w:rPr>
        <w:t xml:space="preserve">ou, à défaut de consultation dans un délai de </w:t>
      </w:r>
      <w:r>
        <w:rPr>
          <w:rFonts w:cs="Arial"/>
          <w:b/>
          <w:szCs w:val="18"/>
        </w:rPr>
        <w:t>quatre (</w:t>
      </w:r>
      <w:r w:rsidRPr="0088162E">
        <w:rPr>
          <w:rFonts w:cs="Arial"/>
          <w:b/>
          <w:szCs w:val="18"/>
        </w:rPr>
        <w:t>4</w:t>
      </w:r>
      <w:r>
        <w:rPr>
          <w:rFonts w:cs="Arial"/>
          <w:b/>
          <w:szCs w:val="18"/>
        </w:rPr>
        <w:t>)</w:t>
      </w:r>
      <w:r w:rsidRPr="0088162E">
        <w:rPr>
          <w:rFonts w:cs="Arial"/>
          <w:b/>
          <w:szCs w:val="18"/>
        </w:rPr>
        <w:t xml:space="preserve"> jours à compter de la date de mise à disposition du document sur le profil d'acheteur, à l'issue de ce délai.</w:t>
      </w:r>
    </w:p>
    <w:p w:rsidR="00135559" w:rsidRPr="0088162E" w:rsidRDefault="00135559" w:rsidP="00135559">
      <w:r w:rsidRPr="0088162E">
        <w:rPr>
          <w:rFonts w:cs="Arial"/>
          <w:szCs w:val="18"/>
        </w:rPr>
        <w:t xml:space="preserve">Lorsque la notification est effectuée </w:t>
      </w:r>
      <w:r w:rsidRPr="0088162E">
        <w:rPr>
          <w:rFonts w:cs="Arial"/>
          <w:szCs w:val="18"/>
          <w:u w:val="single"/>
        </w:rPr>
        <w:t>par courrier électronique</w:t>
      </w:r>
      <w:r w:rsidRPr="0088162E">
        <w:rPr>
          <w:rFonts w:cs="Arial"/>
          <w:szCs w:val="18"/>
        </w:rPr>
        <w:t xml:space="preserve">, les parties sont réputées avoir reçu cette notification </w:t>
      </w:r>
      <w:r w:rsidRPr="0088162E">
        <w:rPr>
          <w:rFonts w:cs="Arial"/>
          <w:b/>
          <w:szCs w:val="18"/>
        </w:rPr>
        <w:t>à la date de la première consultation</w:t>
      </w:r>
      <w:r w:rsidRPr="0088162E">
        <w:rPr>
          <w:rFonts w:cs="Arial"/>
          <w:szCs w:val="18"/>
        </w:rPr>
        <w:t xml:space="preserve"> du document qui leur a ainsi été adressé (accusé de réception), </w:t>
      </w:r>
      <w:r w:rsidRPr="0088162E">
        <w:rPr>
          <w:rFonts w:cs="Arial"/>
          <w:b/>
          <w:szCs w:val="18"/>
        </w:rPr>
        <w:t xml:space="preserve">ou, à défaut de consultation dans un délai de </w:t>
      </w:r>
      <w:r>
        <w:rPr>
          <w:rFonts w:cs="Arial"/>
          <w:b/>
          <w:szCs w:val="18"/>
        </w:rPr>
        <w:t>quatre (</w:t>
      </w:r>
      <w:r w:rsidRPr="0088162E">
        <w:rPr>
          <w:rFonts w:cs="Arial"/>
          <w:b/>
          <w:szCs w:val="18"/>
        </w:rPr>
        <w:t>4</w:t>
      </w:r>
      <w:r>
        <w:rPr>
          <w:rFonts w:cs="Arial"/>
          <w:b/>
          <w:szCs w:val="18"/>
        </w:rPr>
        <w:t>)</w:t>
      </w:r>
      <w:r w:rsidRPr="0088162E">
        <w:rPr>
          <w:rFonts w:cs="Arial"/>
          <w:b/>
          <w:szCs w:val="18"/>
        </w:rPr>
        <w:t xml:space="preserve"> jours à compter de la date d’envoi, à l'issue de ce délai.</w:t>
      </w:r>
    </w:p>
    <w:p w:rsidR="00135559" w:rsidRPr="00137FA3" w:rsidRDefault="00135559" w:rsidP="00135559">
      <w:pPr>
        <w:spacing w:before="60" w:after="60"/>
        <w:rPr>
          <w:rFonts w:eastAsia="Batang" w:cs="Arial"/>
          <w:b/>
          <w:szCs w:val="18"/>
        </w:rPr>
      </w:pPr>
      <w:r w:rsidRPr="0088162E">
        <w:rPr>
          <w:rFonts w:eastAsia="Batang" w:cs="Arial"/>
          <w:szCs w:val="18"/>
        </w:rPr>
        <w:t>Le</w:t>
      </w:r>
      <w:r>
        <w:rPr>
          <w:rFonts w:eastAsia="Batang" w:cs="Arial"/>
          <w:szCs w:val="18"/>
        </w:rPr>
        <w:t xml:space="preserve"> </w:t>
      </w:r>
      <w:r w:rsidRPr="0088162E">
        <w:rPr>
          <w:rFonts w:eastAsia="Batang" w:cs="Arial"/>
          <w:szCs w:val="18"/>
        </w:rPr>
        <w:t>(ou les) adresse(s) électronique(s) des parties sont mentionnées dans l’AE.</w:t>
      </w:r>
      <w:r>
        <w:rPr>
          <w:rFonts w:eastAsia="Batang" w:cs="Arial"/>
          <w:szCs w:val="18"/>
        </w:rPr>
        <w:t xml:space="preserve"> Le titulaire s’engage à veiller à leur bon fonctionnement, leur relève quotidienne par du personnel habilité, à la transmission de leur contenu aux personnes chargées de l’exécution de l’accord-cadre et des marchés subséquents en cours et à informer le maître d’ouvrage de tout changement d’adresse dans un </w:t>
      </w:r>
      <w:r w:rsidRPr="00137FA3">
        <w:rPr>
          <w:rFonts w:eastAsia="Batang" w:cs="Arial"/>
          <w:b/>
          <w:szCs w:val="18"/>
        </w:rPr>
        <w:t>délai maximal de huit (8) jours.</w:t>
      </w:r>
    </w:p>
    <w:p w:rsidR="00135559" w:rsidRDefault="00135559" w:rsidP="00135559">
      <w:pPr>
        <w:rPr>
          <w:rFonts w:eastAsia="Batang" w:cs="Arial"/>
          <w:szCs w:val="18"/>
          <w:highlight w:val="cyan"/>
        </w:rPr>
      </w:pPr>
    </w:p>
    <w:p w:rsidR="00135559" w:rsidRPr="00004270" w:rsidRDefault="00135559" w:rsidP="00135559">
      <w:pPr>
        <w:ind w:firstLine="708"/>
        <w:rPr>
          <w:i/>
          <w:u w:val="single"/>
        </w:rPr>
      </w:pPr>
      <w:bookmarkStart w:id="132" w:name="_Toc119597380"/>
      <w:r w:rsidRPr="00004270">
        <w:rPr>
          <w:i/>
          <w:u w:val="single"/>
        </w:rPr>
        <w:t>6.5.2 - Direction et contrôle par le maître d’ouvrage</w:t>
      </w:r>
      <w:bookmarkEnd w:id="132"/>
    </w:p>
    <w:p w:rsidR="00135559" w:rsidRPr="0088162E" w:rsidRDefault="00135559" w:rsidP="00135559">
      <w:pPr>
        <w:rPr>
          <w:rFonts w:eastAsia="Verdana" w:cs="Verdana"/>
          <w:szCs w:val="18"/>
        </w:rPr>
      </w:pPr>
      <w:r w:rsidRPr="0088162E">
        <w:rPr>
          <w:rFonts w:eastAsia="Verdana" w:cs="Verdana"/>
          <w:szCs w:val="18"/>
        </w:rPr>
        <w:t>Le maître de l'ouvrage contrôle et dirige le marché de maîtrise d’œuvre par l'émission d’ordres de Service (O.S) tels que définis à l’article 3.8 du CCAG</w:t>
      </w:r>
      <w:r>
        <w:rPr>
          <w:rFonts w:eastAsia="Verdana" w:cs="Verdana"/>
          <w:szCs w:val="18"/>
        </w:rPr>
        <w:t>-MOE</w:t>
      </w:r>
      <w:r w:rsidRPr="0088162E">
        <w:rPr>
          <w:rFonts w:eastAsia="Verdana" w:cs="Verdana"/>
          <w:szCs w:val="18"/>
        </w:rPr>
        <w:t xml:space="preserve">. </w:t>
      </w:r>
    </w:p>
    <w:p w:rsidR="00135559" w:rsidRPr="0088162E" w:rsidRDefault="00135559" w:rsidP="00135559">
      <w:pPr>
        <w:rPr>
          <w:rFonts w:eastAsia="Verdana" w:cs="Verdana"/>
          <w:szCs w:val="18"/>
        </w:rPr>
      </w:pPr>
      <w:r w:rsidRPr="0088162E">
        <w:rPr>
          <w:rFonts w:eastAsia="Verdana" w:cs="Verdana"/>
          <w:szCs w:val="18"/>
        </w:rPr>
        <w:t>Est considéré comme ordre de service au sens d</w:t>
      </w:r>
      <w:r>
        <w:rPr>
          <w:rFonts w:eastAsia="Verdana" w:cs="Verdana"/>
          <w:szCs w:val="18"/>
        </w:rPr>
        <w:t>e l’article 2 du</w:t>
      </w:r>
      <w:r w:rsidRPr="0088162E">
        <w:rPr>
          <w:rFonts w:eastAsia="Verdana" w:cs="Verdana"/>
          <w:szCs w:val="18"/>
        </w:rPr>
        <w:t xml:space="preserve"> C</w:t>
      </w:r>
      <w:r>
        <w:rPr>
          <w:rFonts w:eastAsia="Verdana" w:cs="Verdana"/>
          <w:szCs w:val="18"/>
        </w:rPr>
        <w:t>CAG-MOE,</w:t>
      </w:r>
      <w:r w:rsidRPr="0088162E">
        <w:rPr>
          <w:rFonts w:eastAsia="Verdana" w:cs="Verdana"/>
          <w:szCs w:val="18"/>
        </w:rPr>
        <w:t xml:space="preserve"> la décision du maître d'ouvrage qui précise les modalités d'exécution de tout ou partie des prestations qui constituent l'objet du marché.</w:t>
      </w:r>
    </w:p>
    <w:p w:rsidR="00135559" w:rsidRPr="00E926EB" w:rsidRDefault="00135559" w:rsidP="00135559">
      <w:pPr>
        <w:rPr>
          <w:rFonts w:eastAsia="Verdana" w:cs="Verdana"/>
          <w:sz w:val="10"/>
          <w:szCs w:val="10"/>
        </w:rPr>
      </w:pPr>
    </w:p>
    <w:p w:rsidR="00135559" w:rsidRPr="0088162E" w:rsidRDefault="00135559" w:rsidP="00135559">
      <w:pPr>
        <w:rPr>
          <w:rFonts w:eastAsia="Verdana" w:cs="Verdana"/>
          <w:szCs w:val="18"/>
        </w:rPr>
      </w:pPr>
      <w:r w:rsidRPr="0088162E">
        <w:rPr>
          <w:rFonts w:eastAsia="Verdana" w:cs="Verdana"/>
          <w:szCs w:val="18"/>
        </w:rPr>
        <w:t>Les ordres de service sont datés, numérotés, signés et transmis dans les conditions permettant de donner date certaine (</w:t>
      </w:r>
      <w:r>
        <w:rPr>
          <w:rFonts w:eastAsia="Verdana" w:cs="Verdana"/>
          <w:szCs w:val="18"/>
        </w:rPr>
        <w:t xml:space="preserve">courrier électronique avec accusé de réception, </w:t>
      </w:r>
      <w:r w:rsidRPr="0088162E">
        <w:rPr>
          <w:rFonts w:eastAsia="Verdana" w:cs="Verdana"/>
          <w:szCs w:val="18"/>
        </w:rPr>
        <w:t>LRAR, contre récépissé…)</w:t>
      </w:r>
    </w:p>
    <w:p w:rsidR="00135559" w:rsidRPr="0088162E" w:rsidRDefault="00135559" w:rsidP="00135559">
      <w:pPr>
        <w:rPr>
          <w:rFonts w:eastAsia="Verdana" w:cs="Verdana"/>
          <w:szCs w:val="18"/>
        </w:rPr>
      </w:pPr>
      <w:r w:rsidRPr="0088162E">
        <w:rPr>
          <w:rFonts w:eastAsia="Verdana" w:cs="Verdana"/>
          <w:szCs w:val="18"/>
        </w:rPr>
        <w:t xml:space="preserve">Le titulaire en accuse immédiatement réception. </w:t>
      </w:r>
    </w:p>
    <w:p w:rsidR="00135559" w:rsidRDefault="00135559" w:rsidP="00135559">
      <w:pPr>
        <w:rPr>
          <w:rFonts w:eastAsia="Verdana" w:cs="Verdana"/>
          <w:szCs w:val="18"/>
        </w:rPr>
      </w:pPr>
      <w:r w:rsidRPr="0088162E">
        <w:rPr>
          <w:rFonts w:eastAsia="Verdana" w:cs="Verdana"/>
          <w:szCs w:val="18"/>
        </w:rPr>
        <w:t>Le titulaire dispose d'un délai de quinze jours sous peine de forclusion à compter de la réception de l’ordre de service pour émettre d'éventuelles réserves sur les conséquences directes ou indirectes découlant de celui-ci. Ces réserves sont transmises au maître de l'ouvrage par un moyen permettant de donner date certaine.</w:t>
      </w:r>
    </w:p>
    <w:p w:rsidR="00135559" w:rsidRPr="00E926EB" w:rsidRDefault="00135559" w:rsidP="00135559">
      <w:pPr>
        <w:rPr>
          <w:rFonts w:eastAsia="Verdana" w:cs="Verdana"/>
          <w:sz w:val="10"/>
          <w:szCs w:val="10"/>
        </w:rPr>
      </w:pPr>
    </w:p>
    <w:p w:rsidR="00135559" w:rsidRPr="0088162E" w:rsidRDefault="00135559" w:rsidP="00135559">
      <w:pPr>
        <w:rPr>
          <w:rFonts w:eastAsia="Verdana" w:cs="Verdana"/>
          <w:szCs w:val="18"/>
        </w:rPr>
      </w:pPr>
      <w:r w:rsidRPr="0088162E">
        <w:rPr>
          <w:rFonts w:eastAsia="Verdana" w:cs="Verdana"/>
          <w:szCs w:val="18"/>
        </w:rPr>
        <w:t>Le titulaire a indiqué dans son offre les personnes qui participeront personnellement à l'exécution des prestations objet de ce marché, sans préjudice de la participation d'autres personnes.</w:t>
      </w:r>
    </w:p>
    <w:p w:rsidR="00135559" w:rsidRDefault="00135559" w:rsidP="00135559">
      <w:pPr>
        <w:rPr>
          <w:rFonts w:eastAsia="Verdana" w:cs="Verdana"/>
          <w:szCs w:val="18"/>
        </w:rPr>
      </w:pPr>
      <w:r>
        <w:rPr>
          <w:rFonts w:eastAsia="Verdana" w:cs="Verdana"/>
          <w:szCs w:val="18"/>
        </w:rPr>
        <w:t>L</w:t>
      </w:r>
      <w:r w:rsidRPr="0088162E">
        <w:rPr>
          <w:rFonts w:eastAsia="Verdana" w:cs="Verdana"/>
          <w:szCs w:val="18"/>
        </w:rPr>
        <w:t>a maîtrise d’ouvrage entend bénéficier des compétences soumises au stade de l’offre. Ainsi, la maîtrise d’ouvrage sera extrêmement vigilante au respect des intervenants susmentionnés : elle pourra par ailleurs révoquer un intervenant non connu si le maître d’œuvre n’a pas prévenu en cas de changement.</w:t>
      </w:r>
    </w:p>
    <w:p w:rsidR="00135559" w:rsidRPr="00E926EB" w:rsidRDefault="00135559" w:rsidP="00135559">
      <w:pPr>
        <w:rPr>
          <w:rFonts w:eastAsia="Verdana" w:cs="Verdana"/>
          <w:sz w:val="10"/>
          <w:szCs w:val="10"/>
        </w:rPr>
      </w:pPr>
    </w:p>
    <w:p w:rsidR="00135559" w:rsidRDefault="00135559" w:rsidP="00135559">
      <w:pPr>
        <w:rPr>
          <w:rFonts w:eastAsia="Verdana" w:cs="Verdana"/>
          <w:szCs w:val="18"/>
        </w:rPr>
      </w:pPr>
      <w:r w:rsidRPr="0088162E">
        <w:rPr>
          <w:rFonts w:eastAsia="Verdana" w:cs="Verdana"/>
          <w:szCs w:val="18"/>
        </w:rPr>
        <w:t xml:space="preserve">En cas de difficulté dans l’exécution de la prestation, le maître d’ouvrage se réserve la possibilité de demander le remplacement de la personne désignée ci-dessus. Au préalable, le maître d’ouvrage informera le titulaire de la difficulté qu’il rencontre dans l’exécution de la prestation. </w:t>
      </w:r>
      <w:r>
        <w:rPr>
          <w:rFonts w:eastAsia="Verdana" w:cs="Verdana"/>
          <w:szCs w:val="18"/>
        </w:rPr>
        <w:t>Par dérogation à l’article 3.4.3 du CCAG-MOE, l</w:t>
      </w:r>
      <w:r w:rsidRPr="0088162E">
        <w:rPr>
          <w:rFonts w:eastAsia="Verdana" w:cs="Verdana"/>
          <w:szCs w:val="18"/>
        </w:rPr>
        <w:t xml:space="preserve">e titulaire </w:t>
      </w:r>
      <w:r>
        <w:rPr>
          <w:rFonts w:eastAsia="Verdana" w:cs="Verdana"/>
          <w:szCs w:val="18"/>
        </w:rPr>
        <w:t>dispose de</w:t>
      </w:r>
      <w:r w:rsidRPr="0088162E">
        <w:rPr>
          <w:rFonts w:eastAsia="Verdana" w:cs="Verdana"/>
          <w:szCs w:val="18"/>
        </w:rPr>
        <w:t xml:space="preserve"> 15 jours pour présenter un remplaçant sous peine d’application de la pénalité définie </w:t>
      </w:r>
      <w:r w:rsidRPr="00FA3065">
        <w:rPr>
          <w:rFonts w:eastAsia="Verdana" w:cs="Verdana"/>
          <w:szCs w:val="18"/>
        </w:rPr>
        <w:t>à l’article 11.1.2 du présent CCAP.</w:t>
      </w:r>
    </w:p>
    <w:p w:rsidR="00135559" w:rsidRPr="00E926EB" w:rsidRDefault="00135559" w:rsidP="00135559">
      <w:pPr>
        <w:rPr>
          <w:rFonts w:eastAsia="Verdana" w:cs="Verdana"/>
          <w:sz w:val="10"/>
          <w:szCs w:val="10"/>
        </w:rPr>
      </w:pPr>
    </w:p>
    <w:p w:rsidR="00135559" w:rsidRPr="0088162E" w:rsidRDefault="00135559" w:rsidP="00135559">
      <w:pPr>
        <w:rPr>
          <w:rFonts w:eastAsia="Verdana" w:cs="Verdana"/>
          <w:szCs w:val="18"/>
        </w:rPr>
      </w:pPr>
      <w:r w:rsidRPr="0088162E">
        <w:rPr>
          <w:rFonts w:eastAsia="Verdana" w:cs="Verdana"/>
          <w:szCs w:val="18"/>
        </w:rPr>
        <w:t xml:space="preserve">Celui-ci est considéré comme accepté si le maître d’ouvrage ne le récuse pas dans </w:t>
      </w:r>
      <w:r w:rsidRPr="002517ED">
        <w:rPr>
          <w:rFonts w:eastAsia="Verdana" w:cs="Verdana"/>
          <w:b/>
          <w:szCs w:val="18"/>
        </w:rPr>
        <w:t>un délai de huit (8) jours.</w:t>
      </w:r>
    </w:p>
    <w:p w:rsidR="00135559" w:rsidRPr="009233CA" w:rsidRDefault="00135559" w:rsidP="00135559">
      <w:pPr>
        <w:rPr>
          <w:rFonts w:eastAsia="Verdana" w:cs="Verdana"/>
          <w:szCs w:val="18"/>
        </w:rPr>
      </w:pPr>
      <w:r w:rsidRPr="0088162E">
        <w:rPr>
          <w:rFonts w:eastAsia="Verdana" w:cs="Verdana"/>
          <w:szCs w:val="18"/>
        </w:rPr>
        <w:t xml:space="preserve">A défaut de proposition de remplaçant par le titulaire ou en cas de récusation des remplaçants par le pouvoir adjudicateur, le marché peut être résilié dans les conditions prévues </w:t>
      </w:r>
      <w:r>
        <w:rPr>
          <w:rFonts w:eastAsia="Verdana" w:cs="Verdana"/>
          <w:szCs w:val="18"/>
        </w:rPr>
        <w:t>aux</w:t>
      </w:r>
      <w:r w:rsidRPr="0088162E">
        <w:rPr>
          <w:rFonts w:eastAsia="Verdana" w:cs="Verdana"/>
          <w:szCs w:val="18"/>
        </w:rPr>
        <w:t xml:space="preserve"> article </w:t>
      </w:r>
      <w:r>
        <w:rPr>
          <w:rFonts w:eastAsia="Verdana" w:cs="Verdana"/>
          <w:szCs w:val="18"/>
        </w:rPr>
        <w:t>27 et 30</w:t>
      </w:r>
      <w:r w:rsidRPr="0088162E">
        <w:rPr>
          <w:rFonts w:eastAsia="Verdana" w:cs="Verdana"/>
          <w:szCs w:val="18"/>
        </w:rPr>
        <w:t xml:space="preserve"> du CCAG-</w:t>
      </w:r>
      <w:r>
        <w:rPr>
          <w:rFonts w:eastAsia="Verdana" w:cs="Verdana"/>
          <w:szCs w:val="18"/>
        </w:rPr>
        <w:t>MOE</w:t>
      </w:r>
      <w:r w:rsidRPr="0088162E">
        <w:rPr>
          <w:rFonts w:eastAsia="Verdana" w:cs="Verdana"/>
          <w:szCs w:val="18"/>
        </w:rPr>
        <w:t>.</w:t>
      </w:r>
    </w:p>
    <w:p w:rsidR="00135559" w:rsidRDefault="00135559" w:rsidP="00135559">
      <w:pPr>
        <w:pStyle w:val="Commentaire1"/>
        <w:jc w:val="both"/>
        <w:rPr>
          <w:rFonts w:ascii="Verdana" w:hAnsi="Verdana" w:cs="Calibri"/>
          <w:b/>
          <w:sz w:val="18"/>
          <w:szCs w:val="18"/>
        </w:rPr>
      </w:pPr>
    </w:p>
    <w:p w:rsidR="00135559" w:rsidRPr="00004270" w:rsidRDefault="00135559" w:rsidP="00785367">
      <w:pPr>
        <w:ind w:firstLine="708"/>
        <w:rPr>
          <w:i/>
          <w:u w:val="single"/>
        </w:rPr>
      </w:pPr>
      <w:bookmarkStart w:id="133" w:name="_Toc119597381"/>
      <w:r w:rsidRPr="00004270">
        <w:rPr>
          <w:i/>
          <w:u w:val="single"/>
        </w:rPr>
        <w:t>6.</w:t>
      </w:r>
      <w:r w:rsidR="00785367" w:rsidRPr="00004270">
        <w:rPr>
          <w:i/>
          <w:u w:val="single"/>
        </w:rPr>
        <w:t>5</w:t>
      </w:r>
      <w:r w:rsidRPr="00004270">
        <w:rPr>
          <w:i/>
          <w:u w:val="single"/>
        </w:rPr>
        <w:t>.3 - Réunion de coordination</w:t>
      </w:r>
      <w:bookmarkEnd w:id="133"/>
    </w:p>
    <w:p w:rsidR="00135559" w:rsidRPr="009233CA" w:rsidRDefault="00135559" w:rsidP="00135559">
      <w:pPr>
        <w:pStyle w:val="Commentaire1"/>
        <w:jc w:val="both"/>
        <w:rPr>
          <w:rFonts w:ascii="Verdana" w:hAnsi="Verdana" w:cs="Calibri"/>
          <w:sz w:val="18"/>
          <w:szCs w:val="18"/>
        </w:rPr>
      </w:pPr>
      <w:r w:rsidRPr="009233CA">
        <w:rPr>
          <w:rFonts w:ascii="Verdana" w:hAnsi="Verdana" w:cs="Calibri"/>
          <w:sz w:val="18"/>
          <w:szCs w:val="18"/>
        </w:rPr>
        <w:t xml:space="preserve">Le maître d'ouvrage impose des réunions de coordination et de suivi des études qui se tiennent en un lieu défini par le maître d'ouvrage en présence du représentant désigné du maître d'œuvre pour assurer les responsabilités et prendre les décisions découlant de l'exécution du présent contrat. Ce représentant peut être assisté d'un suppléant en cas d'absence. </w:t>
      </w:r>
    </w:p>
    <w:p w:rsidR="00135559" w:rsidRPr="00E926EB" w:rsidRDefault="00135559" w:rsidP="00135559">
      <w:pPr>
        <w:pStyle w:val="Commentaire1"/>
        <w:jc w:val="both"/>
        <w:rPr>
          <w:rFonts w:ascii="Verdana" w:hAnsi="Verdana" w:cs="Calibri"/>
          <w:sz w:val="10"/>
          <w:szCs w:val="10"/>
        </w:rPr>
      </w:pPr>
    </w:p>
    <w:p w:rsidR="00135559" w:rsidRDefault="00135559" w:rsidP="00135559">
      <w:pPr>
        <w:pStyle w:val="Commentaire1"/>
        <w:jc w:val="both"/>
        <w:rPr>
          <w:rFonts w:ascii="Verdana" w:hAnsi="Verdana" w:cs="Calibri"/>
          <w:sz w:val="18"/>
          <w:szCs w:val="18"/>
        </w:rPr>
      </w:pPr>
      <w:r w:rsidRPr="009233CA">
        <w:rPr>
          <w:rFonts w:ascii="Verdana" w:hAnsi="Verdana" w:cs="Calibri"/>
          <w:sz w:val="18"/>
          <w:szCs w:val="18"/>
        </w:rPr>
        <w:t xml:space="preserve">Le maître d’œuvre dresse le compte-rendu. </w:t>
      </w:r>
    </w:p>
    <w:p w:rsidR="00135559" w:rsidRPr="00E926EB" w:rsidRDefault="00135559" w:rsidP="00135559">
      <w:pPr>
        <w:pStyle w:val="Commentaire1"/>
        <w:jc w:val="both"/>
        <w:rPr>
          <w:rFonts w:ascii="Verdana" w:hAnsi="Verdana" w:cs="Calibri"/>
          <w:sz w:val="10"/>
          <w:szCs w:val="10"/>
        </w:rPr>
      </w:pPr>
    </w:p>
    <w:p w:rsidR="00135559" w:rsidRPr="009233CA" w:rsidRDefault="00135559" w:rsidP="00E926EB">
      <w:pPr>
        <w:pStyle w:val="Commentaire1"/>
        <w:jc w:val="both"/>
        <w:rPr>
          <w:rFonts w:ascii="Verdana" w:hAnsi="Verdana" w:cs="Calibri"/>
          <w:sz w:val="18"/>
          <w:szCs w:val="18"/>
        </w:rPr>
      </w:pPr>
      <w:r w:rsidRPr="009233CA">
        <w:rPr>
          <w:rFonts w:ascii="Verdana" w:hAnsi="Verdana" w:cs="Calibri"/>
          <w:sz w:val="18"/>
          <w:szCs w:val="18"/>
        </w:rPr>
        <w:t xml:space="preserve">Ce compte-rendu relate notamment les sujets abordés, les observations éventuelles et les décisions prises lors de ces réunions. Le maître d'œuvre s'oblige à tenir compte des observations du maître de l'ouvrage et des décisions portées dans ce compte-rendu. En l'absence de remarques écrites du maître d'ouvrage sur </w:t>
      </w:r>
      <w:r w:rsidRPr="009233CA">
        <w:rPr>
          <w:rFonts w:ascii="Verdana" w:hAnsi="Verdana" w:cs="Calibri"/>
          <w:sz w:val="18"/>
          <w:szCs w:val="18"/>
        </w:rPr>
        <w:lastRenderedPageBreak/>
        <w:t xml:space="preserve">celui-ci, dans </w:t>
      </w:r>
      <w:r w:rsidRPr="002517ED">
        <w:rPr>
          <w:rFonts w:ascii="Verdana" w:hAnsi="Verdana" w:cs="Calibri"/>
          <w:b/>
          <w:sz w:val="18"/>
          <w:szCs w:val="18"/>
        </w:rPr>
        <w:t>un délai de quinze (15) jours</w:t>
      </w:r>
      <w:r w:rsidRPr="009233CA">
        <w:rPr>
          <w:rFonts w:ascii="Verdana" w:hAnsi="Verdana" w:cs="Calibri"/>
          <w:sz w:val="18"/>
          <w:szCs w:val="18"/>
        </w:rPr>
        <w:t xml:space="preserve"> à compter de la notification dudit compte-rendu, les décisions qui y sont formulées sont réputées acquises et acceptées par les parties.</w:t>
      </w:r>
    </w:p>
    <w:p w:rsidR="00135559" w:rsidRDefault="00135559" w:rsidP="00135559">
      <w:pPr>
        <w:pStyle w:val="Commentaire1"/>
        <w:jc w:val="both"/>
        <w:rPr>
          <w:rFonts w:ascii="Verdana" w:hAnsi="Verdana" w:cs="Calibri"/>
          <w:b/>
          <w:sz w:val="18"/>
          <w:szCs w:val="18"/>
        </w:rPr>
      </w:pPr>
    </w:p>
    <w:p w:rsidR="00135559" w:rsidRPr="00004270" w:rsidRDefault="00135559" w:rsidP="00785367">
      <w:pPr>
        <w:ind w:firstLine="708"/>
        <w:rPr>
          <w:i/>
          <w:u w:val="single"/>
        </w:rPr>
      </w:pPr>
      <w:bookmarkStart w:id="134" w:name="_Hlk102749723"/>
      <w:bookmarkStart w:id="135" w:name="_Toc119597382"/>
      <w:r w:rsidRPr="00004270">
        <w:rPr>
          <w:i/>
          <w:u w:val="single"/>
        </w:rPr>
        <w:t>6.</w:t>
      </w:r>
      <w:r w:rsidR="00785367" w:rsidRPr="00004270">
        <w:rPr>
          <w:i/>
          <w:u w:val="single"/>
        </w:rPr>
        <w:t>5</w:t>
      </w:r>
      <w:r w:rsidRPr="00004270">
        <w:rPr>
          <w:i/>
          <w:u w:val="single"/>
        </w:rPr>
        <w:t>.4 - Equipe mise en place par le titulaire</w:t>
      </w:r>
      <w:bookmarkEnd w:id="134"/>
      <w:bookmarkEnd w:id="135"/>
    </w:p>
    <w:p w:rsidR="00135559" w:rsidRPr="009233CA" w:rsidRDefault="00135559" w:rsidP="00135559">
      <w:pPr>
        <w:tabs>
          <w:tab w:val="left" w:pos="3969"/>
        </w:tabs>
      </w:pPr>
      <w:r w:rsidRPr="009233CA">
        <w:rPr>
          <w:rFonts w:cs="Arial"/>
          <w:bCs/>
          <w:szCs w:val="18"/>
        </w:rPr>
        <w:t xml:space="preserve">Le titulaire a la responsabilité des </w:t>
      </w:r>
      <w:r w:rsidRPr="009233CA">
        <w:rPr>
          <w:rFonts w:cs="Arial"/>
          <w:b/>
          <w:bCs/>
          <w:szCs w:val="18"/>
        </w:rPr>
        <w:t>personnels</w:t>
      </w:r>
      <w:r w:rsidRPr="009233CA">
        <w:rPr>
          <w:rFonts w:cs="Arial"/>
          <w:bCs/>
          <w:szCs w:val="18"/>
        </w:rPr>
        <w:t xml:space="preserve"> et des </w:t>
      </w:r>
      <w:r w:rsidRPr="009233CA">
        <w:rPr>
          <w:rFonts w:cs="Arial"/>
          <w:b/>
          <w:bCs/>
          <w:szCs w:val="18"/>
        </w:rPr>
        <w:t>moyens</w:t>
      </w:r>
      <w:r w:rsidRPr="009233CA">
        <w:rPr>
          <w:rFonts w:cs="Arial"/>
          <w:bCs/>
          <w:szCs w:val="18"/>
        </w:rPr>
        <w:t xml:space="preserve"> à mettre en œuvre</w:t>
      </w:r>
      <w:r w:rsidRPr="006F360F">
        <w:rPr>
          <w:rFonts w:cs="Arial"/>
          <w:bCs/>
          <w:szCs w:val="18"/>
        </w:rPr>
        <w:t xml:space="preserve">, pour le suivi de l’accord-cadre et la bonne réalisation des prestations de chaque </w:t>
      </w:r>
      <w:r w:rsidRPr="006F360F">
        <w:rPr>
          <w:rFonts w:cs="Verdana"/>
          <w:szCs w:val="18"/>
        </w:rPr>
        <w:t>marché subséquent</w:t>
      </w:r>
      <w:r w:rsidRPr="006F360F">
        <w:rPr>
          <w:rFonts w:cs="Arial"/>
          <w:bCs/>
          <w:szCs w:val="18"/>
        </w:rPr>
        <w:t>.</w:t>
      </w:r>
    </w:p>
    <w:p w:rsidR="00135559" w:rsidRPr="009233CA" w:rsidRDefault="00135559" w:rsidP="00135559">
      <w:pPr>
        <w:tabs>
          <w:tab w:val="left" w:pos="3969"/>
        </w:tabs>
        <w:rPr>
          <w:rFonts w:cs="Arial"/>
          <w:bCs/>
          <w:szCs w:val="18"/>
        </w:rPr>
      </w:pPr>
    </w:p>
    <w:p w:rsidR="00135559" w:rsidRPr="009233CA" w:rsidRDefault="00135559" w:rsidP="00135559">
      <w:pPr>
        <w:tabs>
          <w:tab w:val="left" w:pos="3969"/>
        </w:tabs>
      </w:pPr>
      <w:r w:rsidRPr="009233CA">
        <w:rPr>
          <w:rFonts w:cs="Arial"/>
          <w:szCs w:val="18"/>
        </w:rPr>
        <w:t xml:space="preserve">Le titulaire s’engage à mettre en place </w:t>
      </w:r>
      <w:r w:rsidRPr="009233CA">
        <w:rPr>
          <w:rFonts w:cs="Arial"/>
          <w:b/>
          <w:szCs w:val="18"/>
        </w:rPr>
        <w:t>une équipe de personnes compétentes</w:t>
      </w:r>
      <w:r w:rsidRPr="009233CA">
        <w:rPr>
          <w:rFonts w:cs="Arial"/>
          <w:szCs w:val="18"/>
        </w:rPr>
        <w:t xml:space="preserve"> (</w:t>
      </w:r>
      <w:r w:rsidRPr="009233CA">
        <w:rPr>
          <w:rFonts w:cs="Arial"/>
          <w:b/>
          <w:szCs w:val="18"/>
        </w:rPr>
        <w:t>intervenants et interlocuteur privilégié</w:t>
      </w:r>
      <w:r w:rsidRPr="009233CA">
        <w:rPr>
          <w:rFonts w:cs="Arial"/>
          <w:szCs w:val="18"/>
        </w:rPr>
        <w:t xml:space="preserve">) dont il s'efforce d'assurer la pérennité pendant toute la durée du marché. </w:t>
      </w:r>
    </w:p>
    <w:p w:rsidR="00135559" w:rsidRPr="009233CA" w:rsidRDefault="00135559" w:rsidP="00135559">
      <w:pPr>
        <w:tabs>
          <w:tab w:val="left" w:pos="3969"/>
        </w:tabs>
      </w:pPr>
      <w:r w:rsidRPr="009233CA">
        <w:rPr>
          <w:rFonts w:cs="Arial"/>
          <w:szCs w:val="18"/>
        </w:rPr>
        <w:t>Il lui appartient de maintenir, pendant toute la durée du marché et sans interruption, un niveau constant de compétence de son équipe, de qualité des prestations, conformément aux niveaux de qualité prévus dans les documents contractuels régissant le présent marché.</w:t>
      </w:r>
    </w:p>
    <w:p w:rsidR="00135559" w:rsidRPr="009233CA" w:rsidRDefault="00135559" w:rsidP="00135559">
      <w:pPr>
        <w:tabs>
          <w:tab w:val="left" w:pos="3969"/>
        </w:tabs>
        <w:rPr>
          <w:rFonts w:cs="Arial"/>
          <w:bCs/>
          <w:szCs w:val="18"/>
        </w:rPr>
      </w:pPr>
    </w:p>
    <w:p w:rsidR="00135559" w:rsidRPr="009233CA" w:rsidRDefault="00135559" w:rsidP="00135559">
      <w:pPr>
        <w:tabs>
          <w:tab w:val="left" w:pos="3969"/>
        </w:tabs>
      </w:pPr>
      <w:r w:rsidRPr="009233CA">
        <w:rPr>
          <w:rFonts w:cs="Arial"/>
          <w:bCs/>
          <w:szCs w:val="18"/>
        </w:rPr>
        <w:t xml:space="preserve">Le titulaire doit aussi mettre à la disposition </w:t>
      </w:r>
      <w:r w:rsidRPr="009233CA">
        <w:rPr>
          <w:rFonts w:cs="Arial"/>
          <w:szCs w:val="18"/>
        </w:rPr>
        <w:t>d’AMU</w:t>
      </w:r>
      <w:r w:rsidRPr="009233CA">
        <w:rPr>
          <w:rFonts w:cs="Arial"/>
          <w:szCs w:val="18"/>
          <w:lang w:eastAsia="en-US"/>
        </w:rPr>
        <w:t xml:space="preserve"> </w:t>
      </w:r>
      <w:r w:rsidRPr="009233CA">
        <w:rPr>
          <w:rFonts w:cs="Arial"/>
          <w:bCs/>
          <w:szCs w:val="18"/>
        </w:rPr>
        <w:t xml:space="preserve">un </w:t>
      </w:r>
      <w:r w:rsidRPr="009233CA">
        <w:rPr>
          <w:rFonts w:cs="Arial"/>
          <w:b/>
          <w:bCs/>
          <w:szCs w:val="18"/>
          <w:u w:val="single"/>
        </w:rPr>
        <w:t>interlocuteur privilégié</w:t>
      </w:r>
      <w:r w:rsidRPr="009233CA">
        <w:rPr>
          <w:rFonts w:cs="Arial"/>
          <w:bCs/>
          <w:szCs w:val="18"/>
        </w:rPr>
        <w:t>.</w:t>
      </w:r>
      <w:r w:rsidRPr="009233CA">
        <w:rPr>
          <w:rFonts w:eastAsia="Batang" w:cs="Arial"/>
          <w:szCs w:val="18"/>
        </w:rPr>
        <w:t xml:space="preserve"> Ce correspondant a pour mission </w:t>
      </w:r>
      <w:r w:rsidRPr="009233CA">
        <w:rPr>
          <w:rFonts w:eastAsia="Batang" w:cs="Arial"/>
          <w:b/>
          <w:szCs w:val="18"/>
        </w:rPr>
        <w:t>de suivre le marché et de veiller à la bonne exécution des prestations effectuées dans le cadre du présent marché</w:t>
      </w:r>
      <w:r w:rsidRPr="009233CA">
        <w:rPr>
          <w:rFonts w:eastAsia="Batang" w:cs="Arial"/>
          <w:szCs w:val="18"/>
        </w:rPr>
        <w:t xml:space="preserve">. </w:t>
      </w:r>
      <w:r w:rsidRPr="009233CA">
        <w:rPr>
          <w:rFonts w:cs="Arial"/>
          <w:bCs/>
          <w:kern w:val="2"/>
          <w:szCs w:val="18"/>
        </w:rPr>
        <w:t xml:space="preserve">Dans ce cadre, il apporte toute diligence à la résolution des dysfonctionnements des prestations. </w:t>
      </w:r>
      <w:r w:rsidRPr="009233CA">
        <w:rPr>
          <w:rFonts w:cs="Arial"/>
          <w:szCs w:val="18"/>
        </w:rPr>
        <w:t>Il rend compte régulièrement et/ou à la demande d’AMU de la nécessaire coordination des prestations que seront amenées à mettre en œuvre les différents intervenants du titulaire.</w:t>
      </w:r>
    </w:p>
    <w:p w:rsidR="00135559" w:rsidRPr="009233CA" w:rsidRDefault="00135559" w:rsidP="00135559">
      <w:pPr>
        <w:pStyle w:val="Commentaire1"/>
        <w:jc w:val="both"/>
      </w:pPr>
      <w:r w:rsidRPr="009233CA">
        <w:rPr>
          <w:rFonts w:ascii="Verdana" w:hAnsi="Verdana" w:cs="Arial"/>
          <w:b/>
          <w:sz w:val="18"/>
          <w:szCs w:val="18"/>
        </w:rPr>
        <w:t>Cet interlocuteur</w:t>
      </w:r>
      <w:r w:rsidRPr="009233CA">
        <w:rPr>
          <w:rFonts w:ascii="Verdana" w:eastAsia="Batang" w:hAnsi="Verdana" w:cs="Arial"/>
          <w:sz w:val="18"/>
          <w:szCs w:val="18"/>
        </w:rPr>
        <w:t xml:space="preserve"> est désigné dans l’acte d’engagement. </w:t>
      </w:r>
    </w:p>
    <w:p w:rsidR="00135559" w:rsidRPr="009233CA" w:rsidRDefault="00135559" w:rsidP="00135559">
      <w:pPr>
        <w:tabs>
          <w:tab w:val="left" w:pos="3969"/>
        </w:tabs>
      </w:pPr>
      <w:r w:rsidRPr="009233CA">
        <w:rPr>
          <w:rFonts w:cs="Arial"/>
          <w:kern w:val="2"/>
          <w:szCs w:val="18"/>
        </w:rPr>
        <w:t xml:space="preserve">Le titulaire indique à AMU la procédure à suivre en cas d’absence de celui-ci. </w:t>
      </w:r>
    </w:p>
    <w:p w:rsidR="00785367" w:rsidRPr="00E926EB" w:rsidRDefault="00135559" w:rsidP="00135559">
      <w:pPr>
        <w:tabs>
          <w:tab w:val="left" w:pos="3969"/>
        </w:tabs>
        <w:rPr>
          <w:rFonts w:cs="Arial"/>
          <w:kern w:val="2"/>
          <w:szCs w:val="18"/>
        </w:rPr>
      </w:pPr>
      <w:r w:rsidRPr="009233CA">
        <w:rPr>
          <w:rFonts w:cs="Arial"/>
          <w:kern w:val="2"/>
          <w:szCs w:val="18"/>
        </w:rPr>
        <w:t xml:space="preserve">Si cette absence est supérieure à une semaine, le titulaire doit désigner un remplaçant. </w:t>
      </w:r>
    </w:p>
    <w:p w:rsidR="00785367" w:rsidRPr="009233CA" w:rsidRDefault="00785367" w:rsidP="00135559">
      <w:pPr>
        <w:tabs>
          <w:tab w:val="left" w:pos="3969"/>
        </w:tabs>
      </w:pPr>
    </w:p>
    <w:p w:rsidR="00135559" w:rsidRPr="00135559" w:rsidRDefault="00135559" w:rsidP="00135559"/>
    <w:p w:rsidR="00253797" w:rsidRDefault="00785367" w:rsidP="00785367">
      <w:pPr>
        <w:pStyle w:val="TITRE100"/>
      </w:pPr>
      <w:bookmarkStart w:id="136" w:name="_Toc148692604"/>
      <w:r>
        <w:t>ARTICLE 7 – OBLIGATIONS GENERALES DU TITULAIRE</w:t>
      </w:r>
      <w:bookmarkEnd w:id="136"/>
    </w:p>
    <w:p w:rsidR="00785367" w:rsidRDefault="00785367" w:rsidP="00785367">
      <w:pPr>
        <w:pStyle w:val="Titre2"/>
      </w:pPr>
      <w:bookmarkStart w:id="137" w:name="_Toc119597384"/>
      <w:bookmarkStart w:id="138" w:name="_Toc148692605"/>
      <w:r>
        <w:t>7.1 Obligations du titulaire</w:t>
      </w:r>
      <w:bookmarkEnd w:id="137"/>
      <w:bookmarkEnd w:id="138"/>
    </w:p>
    <w:p w:rsidR="00785367" w:rsidRPr="006F360F" w:rsidRDefault="00785367" w:rsidP="00785367">
      <w:pPr>
        <w:rPr>
          <w:rFonts w:cs="Arial"/>
          <w:szCs w:val="18"/>
        </w:rPr>
      </w:pPr>
      <w:r w:rsidRPr="006F360F">
        <w:rPr>
          <w:rFonts w:cs="Arial"/>
          <w:szCs w:val="18"/>
        </w:rPr>
        <w:t>Le titulaire s’engage à remettre une offre régulière, acceptable et appropriée lorsqu’il est sollicité pour chaque marché subséquent.</w:t>
      </w:r>
    </w:p>
    <w:p w:rsidR="00785367" w:rsidRPr="00F01B06" w:rsidRDefault="00785367" w:rsidP="00785367">
      <w:pPr>
        <w:rPr>
          <w:rFonts w:cs="Arial"/>
          <w:sz w:val="10"/>
          <w:szCs w:val="10"/>
        </w:rPr>
      </w:pPr>
    </w:p>
    <w:p w:rsidR="00785367" w:rsidRPr="006F360F" w:rsidRDefault="00785367" w:rsidP="00785367">
      <w:pPr>
        <w:rPr>
          <w:rFonts w:cs="Arial"/>
          <w:szCs w:val="18"/>
        </w:rPr>
      </w:pPr>
      <w:r w:rsidRPr="006F360F">
        <w:rPr>
          <w:rFonts w:cs="Arial"/>
          <w:szCs w:val="18"/>
        </w:rPr>
        <w:t xml:space="preserve">Si le titulaire ne se trouve pas en mesure de répondre, il doit motiver son absence d’offre dans les délais prévus pour la réception des propositions. </w:t>
      </w:r>
    </w:p>
    <w:p w:rsidR="00785367" w:rsidRPr="00F01B06" w:rsidRDefault="00785367" w:rsidP="00785367">
      <w:pPr>
        <w:rPr>
          <w:rFonts w:cs="Arial"/>
          <w:sz w:val="10"/>
          <w:szCs w:val="10"/>
        </w:rPr>
      </w:pPr>
    </w:p>
    <w:p w:rsidR="00785367" w:rsidRPr="006F360F" w:rsidRDefault="00785367" w:rsidP="00785367">
      <w:pPr>
        <w:rPr>
          <w:rFonts w:cs="Arial"/>
          <w:szCs w:val="18"/>
        </w:rPr>
      </w:pPr>
      <w:r w:rsidRPr="006F360F">
        <w:rPr>
          <w:rFonts w:cs="Arial"/>
          <w:szCs w:val="18"/>
        </w:rPr>
        <w:t>Dans l’hypothèse où le titulaire ne répondrait pas à la consultation de marché subséquent et/ou bien transmettrait une offre irrégulière, inacceptable, inappropriée, plus de trois (3) fois consécutives, l’université sera déliée de l’exclusivité concernant l’achat objet du marché subséquent et se réserve le droit de faire appel à un tiers pour exécuter les prestations objet du marché subséquent concerné.</w:t>
      </w:r>
    </w:p>
    <w:p w:rsidR="00785367" w:rsidRDefault="00785367" w:rsidP="00785367">
      <w:pPr>
        <w:rPr>
          <w:rFonts w:cs="Arial"/>
          <w:szCs w:val="18"/>
        </w:rPr>
      </w:pPr>
      <w:r w:rsidRPr="006F360F">
        <w:rPr>
          <w:rFonts w:cs="Arial"/>
          <w:szCs w:val="18"/>
        </w:rPr>
        <w:t>Dans le cas où cette situation se renouvellerait une seconde fois dans la même année d’exécution en cours, l’université se réserve la possibilité de résilier l’accord-cadre et/ou les marchés subséquents.</w:t>
      </w:r>
    </w:p>
    <w:p w:rsidR="00785367" w:rsidRDefault="00785367" w:rsidP="00785367">
      <w:pPr>
        <w:pStyle w:val="Titre2"/>
      </w:pPr>
      <w:bookmarkStart w:id="139" w:name="_Toc119597385"/>
      <w:bookmarkStart w:id="140" w:name="_Toc148692606"/>
      <w:r>
        <w:t>7.2 Responsabilité</w:t>
      </w:r>
      <w:bookmarkEnd w:id="139"/>
      <w:bookmarkEnd w:id="140"/>
    </w:p>
    <w:p w:rsidR="00785367" w:rsidRPr="009233CA" w:rsidRDefault="00785367" w:rsidP="00785367">
      <w:r>
        <w:rPr>
          <w:rFonts w:cs="Arial"/>
          <w:szCs w:val="18"/>
        </w:rPr>
        <w:t xml:space="preserve">Le titulaire est tenu de respecter les exigences prévues dans les documents contractuels régissant le marché (délai, coût, qualité, …). À cet effet, </w:t>
      </w:r>
      <w:r w:rsidRPr="009233CA">
        <w:rPr>
          <w:rFonts w:cs="Arial"/>
          <w:szCs w:val="18"/>
        </w:rPr>
        <w:t>AMU se réserve le droit de refuser une prestation qui se révélerait non conforme à ses exigences dans l’exécution des prestations attendues.</w:t>
      </w:r>
    </w:p>
    <w:p w:rsidR="00785367" w:rsidRPr="009233CA" w:rsidRDefault="00785367" w:rsidP="00785367">
      <w:pPr>
        <w:rPr>
          <w:rFonts w:cs="Arial"/>
          <w:sz w:val="8"/>
          <w:szCs w:val="8"/>
        </w:rPr>
      </w:pPr>
    </w:p>
    <w:p w:rsidR="00785367" w:rsidRPr="009233CA" w:rsidRDefault="00785367" w:rsidP="00785367">
      <w:r w:rsidRPr="009233CA">
        <w:rPr>
          <w:rFonts w:cs="Arial"/>
          <w:szCs w:val="18"/>
        </w:rPr>
        <w:t>Pour l’ensemble de ses obligations, le titulaire ne peut nullement mettre en avant une quelconque défaillance de ses éventuels sous-traitants. Le titulaire est le seul responsable de la bonne exécution du marché. Les personnels et sous-traitants affectés par le titulaire à l’exécution des prestations objet du présent marché demeurent en toutes circonstances, placés sous l’autorité, la direction et la surveillance exclusives du titulaire.</w:t>
      </w:r>
    </w:p>
    <w:p w:rsidR="00785367" w:rsidRPr="009233CA" w:rsidRDefault="00785367" w:rsidP="00785367">
      <w:pPr>
        <w:rPr>
          <w:rFonts w:cs="Arial"/>
          <w:sz w:val="8"/>
          <w:szCs w:val="8"/>
        </w:rPr>
      </w:pPr>
    </w:p>
    <w:p w:rsidR="00785367" w:rsidRPr="009233CA" w:rsidRDefault="00785367" w:rsidP="00785367">
      <w:r w:rsidRPr="009233CA">
        <w:rPr>
          <w:rFonts w:cs="Arial"/>
          <w:szCs w:val="18"/>
        </w:rPr>
        <w:t xml:space="preserve">Le titulaire, du fait de sa faute ou de sa négligence, peut être déclaré responsable de la mauvaise exécution ou de l’inexécution des obligations mises à sa charge, sauf si cette mauvaise exécution ou inexécution résulte d’un cas de force majeure tel que défini ci-après ou encore si elle résulte du fait de l’administration. </w:t>
      </w:r>
    </w:p>
    <w:p w:rsidR="00785367" w:rsidRPr="009233CA" w:rsidRDefault="00785367" w:rsidP="00785367">
      <w:r w:rsidRPr="009233CA">
        <w:rPr>
          <w:rFonts w:cs="Arial"/>
          <w:szCs w:val="18"/>
        </w:rPr>
        <w:t>De façon expresse sont considérés comme cas de force majeure ou cas fortuits, ceux habituellement retenus par la jurisprudence des cours et tribunaux français.</w:t>
      </w:r>
    </w:p>
    <w:p w:rsidR="00785367" w:rsidRPr="009233CA" w:rsidRDefault="00785367" w:rsidP="00785367">
      <w:pPr>
        <w:rPr>
          <w:rFonts w:cs="Arial"/>
          <w:sz w:val="8"/>
          <w:szCs w:val="8"/>
        </w:rPr>
      </w:pPr>
    </w:p>
    <w:p w:rsidR="00785367" w:rsidRPr="009233CA" w:rsidRDefault="00785367" w:rsidP="00785367">
      <w:r w:rsidRPr="009233CA">
        <w:rPr>
          <w:rFonts w:cs="Arial"/>
          <w:szCs w:val="18"/>
        </w:rPr>
        <w:t xml:space="preserve">En cas de difficultés ou de mauvaise exécution des prestations, objet du présent marché, le titulaire avise dans les plus brefs délais le service concerné d’AMU par un courrier motivé expliquant la nature de ces difficultés ou encore les raisons qui ne lui ont pas permis d’assurer la bonne exécution du marché. Il présente les conditions et les moyens qu’il entend mettre en œuvre pour respecter ses engagements. </w:t>
      </w:r>
    </w:p>
    <w:p w:rsidR="00785367" w:rsidRPr="009233CA" w:rsidRDefault="00785367" w:rsidP="00785367">
      <w:pPr>
        <w:rPr>
          <w:rFonts w:cs="Arial"/>
          <w:sz w:val="8"/>
          <w:szCs w:val="8"/>
        </w:rPr>
      </w:pPr>
    </w:p>
    <w:p w:rsidR="00785367" w:rsidRPr="009233CA" w:rsidRDefault="00785367" w:rsidP="00785367">
      <w:r w:rsidRPr="009233CA">
        <w:rPr>
          <w:rFonts w:cs="Arial"/>
          <w:szCs w:val="18"/>
        </w:rPr>
        <w:t>En cas de violations des obligations mentionnées ci-dessus, le marché peut être résilié aux torts du titulaire</w:t>
      </w:r>
    </w:p>
    <w:p w:rsidR="00785367" w:rsidRPr="009233CA" w:rsidRDefault="00785367" w:rsidP="00785367">
      <w:pPr>
        <w:rPr>
          <w:rFonts w:cs="Arial"/>
          <w:sz w:val="8"/>
          <w:szCs w:val="8"/>
        </w:rPr>
      </w:pPr>
    </w:p>
    <w:p w:rsidR="00785367" w:rsidRPr="009233CA" w:rsidRDefault="00785367" w:rsidP="00785367">
      <w:r w:rsidRPr="009233CA">
        <w:rPr>
          <w:rFonts w:cs="Arial"/>
          <w:szCs w:val="18"/>
        </w:rPr>
        <w:t>Le titulaire, son personnel (le cas échéant ses sous-traitants) qui ont accès aux locaux de l’administration sont nommément autorisés et soumis pendant leur séjour aux mêmes règles de discipline que les agents de l’administration. La non-application par le titulaire ou son personnel des mesures de sécurité prévues peut entraîner la résiliation du marché à ses torts dans les conditions définies au présent document.</w:t>
      </w:r>
    </w:p>
    <w:p w:rsidR="00785367" w:rsidRPr="009233CA" w:rsidRDefault="00785367" w:rsidP="00785367">
      <w:pPr>
        <w:rPr>
          <w:rFonts w:cs="Arial"/>
          <w:sz w:val="8"/>
          <w:szCs w:val="8"/>
          <w:highlight w:val="yellow"/>
        </w:rPr>
      </w:pPr>
    </w:p>
    <w:p w:rsidR="00E926EB" w:rsidRDefault="00785367" w:rsidP="00785367">
      <w:pPr>
        <w:rPr>
          <w:rFonts w:cs="Arial"/>
          <w:szCs w:val="18"/>
        </w:rPr>
      </w:pPr>
      <w:r w:rsidRPr="009233CA">
        <w:rPr>
          <w:rFonts w:cs="Arial"/>
          <w:szCs w:val="18"/>
        </w:rPr>
        <w:t xml:space="preserve">Le titulaire doit satisfaire à l’obligation de conseil et de mise en garde. </w:t>
      </w:r>
    </w:p>
    <w:p w:rsidR="00785367" w:rsidRPr="009233CA" w:rsidRDefault="00785367" w:rsidP="00785367">
      <w:r w:rsidRPr="009233CA">
        <w:rPr>
          <w:rFonts w:cs="Arial"/>
          <w:szCs w:val="18"/>
        </w:rPr>
        <w:t>À ce titre, il s’engage, notamment à :</w:t>
      </w:r>
    </w:p>
    <w:p w:rsidR="00785367" w:rsidRPr="009233CA" w:rsidRDefault="00785367" w:rsidP="00F01B06">
      <w:pPr>
        <w:numPr>
          <w:ilvl w:val="0"/>
          <w:numId w:val="23"/>
        </w:numPr>
        <w:suppressAutoHyphens/>
      </w:pPr>
      <w:r w:rsidRPr="009233CA">
        <w:rPr>
          <w:rFonts w:cs="Arial"/>
          <w:szCs w:val="18"/>
        </w:rPr>
        <w:lastRenderedPageBreak/>
        <w:t xml:space="preserve">répondre à toute demande de renseignements émanant de l’administration et communiquer à celle-ci tout conseil et toute information qu’il estime nécessaire concernant les prestations relatives au présent marché ; </w:t>
      </w:r>
    </w:p>
    <w:p w:rsidR="00785367" w:rsidRPr="009233CA" w:rsidRDefault="00785367" w:rsidP="00F01B06">
      <w:pPr>
        <w:numPr>
          <w:ilvl w:val="0"/>
          <w:numId w:val="23"/>
        </w:numPr>
        <w:suppressAutoHyphens/>
      </w:pPr>
      <w:r w:rsidRPr="009233CA">
        <w:rPr>
          <w:rFonts w:cs="Arial"/>
          <w:szCs w:val="18"/>
        </w:rPr>
        <w:t>apporter tout le soin et toute la diligence nécessaire à l’exécution des prestations faisant l’objet du présent marché ;</w:t>
      </w:r>
    </w:p>
    <w:p w:rsidR="00785367" w:rsidRPr="009233CA" w:rsidRDefault="00785367" w:rsidP="008F2B6A">
      <w:pPr>
        <w:numPr>
          <w:ilvl w:val="0"/>
          <w:numId w:val="23"/>
        </w:numPr>
        <w:suppressAutoHyphens/>
        <w:spacing w:after="120"/>
      </w:pPr>
      <w:r w:rsidRPr="009233CA">
        <w:rPr>
          <w:rFonts w:cs="Arial"/>
          <w:szCs w:val="18"/>
        </w:rPr>
        <w:t>demander à AMU toute information ou renseignement qu’il juge nécessaire à la bonne exécution des prestations.</w:t>
      </w:r>
    </w:p>
    <w:p w:rsidR="00785367" w:rsidRPr="009233CA" w:rsidRDefault="00785367" w:rsidP="00785367">
      <w:pPr>
        <w:tabs>
          <w:tab w:val="left" w:pos="1418"/>
          <w:tab w:val="right" w:pos="4536"/>
          <w:tab w:val="left" w:pos="4678"/>
        </w:tabs>
      </w:pPr>
      <w:r w:rsidRPr="006F360F">
        <w:rPr>
          <w:rFonts w:cs="Verdana"/>
          <w:szCs w:val="18"/>
          <w:lang w:eastAsia="ar-SA"/>
        </w:rPr>
        <w:t>Conformément à l’article 222-23 du code pénal, le titulaire</w:t>
      </w:r>
      <w:r w:rsidRPr="006F360F">
        <w:rPr>
          <w:rFonts w:cs="Verdana"/>
          <w:bCs/>
          <w:szCs w:val="18"/>
          <w:lang w:eastAsia="ar-SA"/>
        </w:rPr>
        <w:t xml:space="preserve"> et ses sous-traitants</w:t>
      </w:r>
      <w:r w:rsidRPr="006F360F">
        <w:rPr>
          <w:rFonts w:cs="Verdana"/>
          <w:szCs w:val="18"/>
          <w:lang w:eastAsia="ar-SA"/>
        </w:rPr>
        <w:t xml:space="preserve"> devront avoir une</w:t>
      </w:r>
      <w:r w:rsidRPr="009233CA">
        <w:rPr>
          <w:rFonts w:cs="Verdana"/>
          <w:szCs w:val="18"/>
          <w:lang w:eastAsia="ar-SA"/>
        </w:rPr>
        <w:t xml:space="preserve"> attitude respectueuse de la dignité des personnels et des usagers des ERP fréquentés.</w:t>
      </w:r>
    </w:p>
    <w:p w:rsidR="00785367" w:rsidRDefault="00785367" w:rsidP="00785367">
      <w:pPr>
        <w:rPr>
          <w:rFonts w:cs="Arial"/>
          <w:sz w:val="8"/>
          <w:szCs w:val="8"/>
          <w:highlight w:val="yellow"/>
          <w:lang w:eastAsia="ar-SA"/>
        </w:rPr>
      </w:pPr>
    </w:p>
    <w:p w:rsidR="00785367" w:rsidRPr="00C36D6D" w:rsidRDefault="00785367" w:rsidP="00785367">
      <w:pPr>
        <w:pStyle w:val="Titre2"/>
      </w:pPr>
      <w:bookmarkStart w:id="141" w:name="_Toc119597386"/>
      <w:bookmarkStart w:id="142" w:name="_Toc148692607"/>
      <w:r>
        <w:t xml:space="preserve">7.3 </w:t>
      </w:r>
      <w:r w:rsidRPr="00C36D6D">
        <w:t>Confidentialité</w:t>
      </w:r>
      <w:bookmarkEnd w:id="141"/>
      <w:bookmarkEnd w:id="142"/>
      <w:r w:rsidRPr="00C36D6D">
        <w:t xml:space="preserve"> </w:t>
      </w:r>
    </w:p>
    <w:p w:rsidR="00785367" w:rsidRPr="00A12070" w:rsidRDefault="00785367" w:rsidP="00785367">
      <w:pPr>
        <w:widowControl w:val="0"/>
        <w:autoSpaceDE w:val="0"/>
      </w:pPr>
      <w:r w:rsidRPr="00A12070">
        <w:rPr>
          <w:rFonts w:eastAsia="Arial Unicode MS" w:cs="Arial"/>
          <w:bCs/>
          <w:kern w:val="2"/>
          <w:szCs w:val="18"/>
        </w:rPr>
        <w:t xml:space="preserve">Se reporter à l’article 5 du CCAG-MOE. </w:t>
      </w:r>
    </w:p>
    <w:p w:rsidR="00785367" w:rsidRPr="00E926EB" w:rsidRDefault="00785367" w:rsidP="00785367">
      <w:pPr>
        <w:widowControl w:val="0"/>
        <w:autoSpaceDE w:val="0"/>
      </w:pPr>
      <w:r>
        <w:rPr>
          <w:rFonts w:cs="Arial"/>
          <w:szCs w:val="18"/>
        </w:rPr>
        <w:t>En cas de manquement à l’obligation de confidentialité, le marché peut être résilié aux torts du titulaire dans les conditions prévues dans le présent document.</w:t>
      </w:r>
    </w:p>
    <w:p w:rsidR="00785367" w:rsidRPr="00EF5FD0" w:rsidRDefault="00785367" w:rsidP="00785367">
      <w:pPr>
        <w:pStyle w:val="Titre2"/>
      </w:pPr>
      <w:bookmarkStart w:id="143" w:name="_Toc119597387"/>
      <w:bookmarkStart w:id="144" w:name="_Toc148692608"/>
      <w:r w:rsidRPr="00EF5FD0">
        <w:t>7.</w:t>
      </w:r>
      <w:r>
        <w:t>4</w:t>
      </w:r>
      <w:r w:rsidRPr="00EF5FD0">
        <w:t xml:space="preserve"> Règlement européen de protection des données personnelles (RGPD) - données à caractère personnel</w:t>
      </w:r>
      <w:bookmarkEnd w:id="143"/>
      <w:bookmarkEnd w:id="144"/>
      <w:r w:rsidRPr="00EF5FD0">
        <w:t xml:space="preserve"> </w:t>
      </w:r>
    </w:p>
    <w:p w:rsidR="00785367" w:rsidRPr="00EF7E3E" w:rsidRDefault="00785367" w:rsidP="00785367">
      <w:pPr>
        <w:widowControl w:val="0"/>
        <w:autoSpaceDE w:val="0"/>
      </w:pPr>
      <w:r w:rsidRPr="00A12070">
        <w:rPr>
          <w:rFonts w:eastAsia="Arial Unicode MS" w:cs="Arial"/>
          <w:bCs/>
          <w:kern w:val="2"/>
          <w:szCs w:val="18"/>
        </w:rPr>
        <w:t>Se reporter</w:t>
      </w:r>
      <w:r>
        <w:rPr>
          <w:rFonts w:eastAsia="Arial Unicode MS" w:cs="Arial"/>
          <w:bCs/>
          <w:kern w:val="2"/>
          <w:szCs w:val="18"/>
        </w:rPr>
        <w:t xml:space="preserve"> également</w:t>
      </w:r>
      <w:r w:rsidRPr="00A12070">
        <w:rPr>
          <w:rFonts w:eastAsia="Arial Unicode MS" w:cs="Arial"/>
          <w:bCs/>
          <w:kern w:val="2"/>
          <w:szCs w:val="18"/>
        </w:rPr>
        <w:t xml:space="preserve"> à l’article 5 du CCAG-MOE. </w:t>
      </w:r>
    </w:p>
    <w:p w:rsidR="00785367" w:rsidRPr="00A12070" w:rsidRDefault="00785367" w:rsidP="00785367">
      <w:pPr>
        <w:pStyle w:val="Titre2"/>
      </w:pPr>
      <w:bookmarkStart w:id="145" w:name="_Toc119597388"/>
      <w:bookmarkStart w:id="146" w:name="_Toc148692609"/>
      <w:r w:rsidRPr="00A12070">
        <w:t>7.</w:t>
      </w:r>
      <w:r>
        <w:t>5</w:t>
      </w:r>
      <w:r w:rsidRPr="00A12070">
        <w:t xml:space="preserve"> Mesures d'ordre social - Application de la réglementation du travail</w:t>
      </w:r>
      <w:bookmarkEnd w:id="145"/>
      <w:bookmarkEnd w:id="146"/>
      <w:r w:rsidRPr="00A12070">
        <w:t> </w:t>
      </w:r>
    </w:p>
    <w:p w:rsidR="00785367" w:rsidRPr="00A12070" w:rsidRDefault="00785367" w:rsidP="00785367">
      <w:pPr>
        <w:tabs>
          <w:tab w:val="left" w:pos="567"/>
        </w:tabs>
        <w:overflowPunct w:val="0"/>
        <w:autoSpaceDE w:val="0"/>
        <w:autoSpaceDN w:val="0"/>
        <w:adjustRightInd w:val="0"/>
        <w:textAlignment w:val="baseline"/>
        <w:rPr>
          <w:rFonts w:cs="Arial"/>
          <w:szCs w:val="18"/>
        </w:rPr>
      </w:pPr>
      <w:r w:rsidRPr="00A12070">
        <w:rPr>
          <w:rFonts w:cs="Arial"/>
          <w:szCs w:val="18"/>
        </w:rPr>
        <w:t>Le maître d'œuvre est soumis aux obligations résultant des lois et règlements</w:t>
      </w:r>
      <w:r>
        <w:rPr>
          <w:rFonts w:cs="Arial"/>
          <w:szCs w:val="18"/>
        </w:rPr>
        <w:t>,</w:t>
      </w:r>
      <w:r w:rsidRPr="00A12070">
        <w:rPr>
          <w:rFonts w:cs="Arial"/>
          <w:szCs w:val="18"/>
        </w:rPr>
        <w:t xml:space="preserve"> relatives à la protection de la main d'œuvre et aux conditions du travail.</w:t>
      </w:r>
    </w:p>
    <w:p w:rsidR="00785367" w:rsidRDefault="00785367" w:rsidP="00785367">
      <w:pPr>
        <w:tabs>
          <w:tab w:val="left" w:pos="567"/>
        </w:tabs>
        <w:overflowPunct w:val="0"/>
        <w:autoSpaceDE w:val="0"/>
        <w:autoSpaceDN w:val="0"/>
        <w:adjustRightInd w:val="0"/>
        <w:textAlignment w:val="baseline"/>
        <w:rPr>
          <w:rFonts w:cs="Arial"/>
          <w:szCs w:val="18"/>
        </w:rPr>
      </w:pPr>
      <w:r w:rsidRPr="00A12070">
        <w:rPr>
          <w:rFonts w:cs="Arial"/>
          <w:szCs w:val="18"/>
        </w:rPr>
        <w:t>Dans le cas d’opérateurs économiques groupés, le respect de ces mêmes obligations par les cotraitants doit être assuré à la diligence et sous la responsabilité du mandataire.</w:t>
      </w:r>
    </w:p>
    <w:p w:rsidR="00785367" w:rsidRPr="00A12070" w:rsidRDefault="00785367" w:rsidP="00785367">
      <w:pPr>
        <w:pStyle w:val="Titre2"/>
      </w:pPr>
      <w:bookmarkStart w:id="147" w:name="_Toc119597389"/>
      <w:bookmarkStart w:id="148" w:name="_Toc148692610"/>
      <w:r w:rsidRPr="00A12070">
        <w:t>7.</w:t>
      </w:r>
      <w:r>
        <w:t>6</w:t>
      </w:r>
      <w:r w:rsidRPr="00A12070">
        <w:t xml:space="preserve"> </w:t>
      </w:r>
      <w:r>
        <w:t>Dispositions en matière environnementale</w:t>
      </w:r>
      <w:bookmarkEnd w:id="147"/>
      <w:bookmarkEnd w:id="148"/>
    </w:p>
    <w:p w:rsidR="00785367" w:rsidRPr="00C36D6D" w:rsidRDefault="00785367" w:rsidP="00785367">
      <w:pPr>
        <w:tabs>
          <w:tab w:val="left" w:pos="567"/>
        </w:tabs>
        <w:overflowPunct w:val="0"/>
        <w:autoSpaceDE w:val="0"/>
        <w:autoSpaceDN w:val="0"/>
        <w:adjustRightInd w:val="0"/>
        <w:textAlignment w:val="baseline"/>
        <w:rPr>
          <w:rFonts w:cs="Arial"/>
          <w:szCs w:val="18"/>
        </w:rPr>
      </w:pPr>
      <w:r w:rsidRPr="00C36D6D">
        <w:rPr>
          <w:rFonts w:cs="Arial"/>
          <w:szCs w:val="18"/>
        </w:rPr>
        <w:t>Conformément à l’article 18.2 du CCAG, le titulaire, ou chaque cotraitant en cas de groupement, s'engage au respect des dispositions suivantes :</w:t>
      </w:r>
    </w:p>
    <w:p w:rsidR="00785367" w:rsidRPr="00EF7E3E" w:rsidRDefault="00785367" w:rsidP="008F2B6A">
      <w:pPr>
        <w:numPr>
          <w:ilvl w:val="0"/>
          <w:numId w:val="22"/>
        </w:numPr>
        <w:tabs>
          <w:tab w:val="left" w:pos="567"/>
        </w:tabs>
        <w:overflowPunct w:val="0"/>
        <w:autoSpaceDE w:val="0"/>
        <w:autoSpaceDN w:val="0"/>
        <w:adjustRightInd w:val="0"/>
        <w:textAlignment w:val="baseline"/>
        <w:rPr>
          <w:rFonts w:cs="Arial"/>
          <w:szCs w:val="18"/>
        </w:rPr>
      </w:pPr>
      <w:r w:rsidRPr="006F360F">
        <w:rPr>
          <w:rFonts w:cs="Arial"/>
          <w:szCs w:val="18"/>
        </w:rPr>
        <w:t>Concevoir les projets en coût complet en tenant compte de l’impact social et environnemental des partis pris retenus que ce soit niveau architectural, fonctionnel, technique ainsi que dans le choix des matériaux et essences.</w:t>
      </w:r>
    </w:p>
    <w:p w:rsidR="00785367" w:rsidRPr="006F360F" w:rsidRDefault="00785367" w:rsidP="00785367">
      <w:pPr>
        <w:pStyle w:val="Titre2"/>
      </w:pPr>
      <w:bookmarkStart w:id="149" w:name="_Toc108182970"/>
      <w:bookmarkStart w:id="150" w:name="_Toc119597390"/>
      <w:bookmarkStart w:id="151" w:name="_Toc148692611"/>
      <w:r w:rsidRPr="006F360F">
        <w:t xml:space="preserve">7.7 </w:t>
      </w:r>
      <w:bookmarkEnd w:id="149"/>
      <w:r w:rsidRPr="006F360F">
        <w:t>Respect des principes de la République</w:t>
      </w:r>
      <w:bookmarkEnd w:id="150"/>
      <w:bookmarkEnd w:id="151"/>
      <w:r w:rsidRPr="006F360F">
        <w:t> </w:t>
      </w:r>
    </w:p>
    <w:p w:rsidR="00785367" w:rsidRPr="006F360F" w:rsidRDefault="00785367" w:rsidP="00785367">
      <w:pPr>
        <w:rPr>
          <w:szCs w:val="18"/>
        </w:rPr>
      </w:pPr>
      <w:r w:rsidRPr="006F360F">
        <w:rPr>
          <w:rFonts w:cs="Arial"/>
          <w:szCs w:val="18"/>
        </w:rPr>
        <w:t xml:space="preserve">Conformément à la loi n°2021-1109 du 24/08/2021 « confortant le respect des principes de la République », le titulaire </w:t>
      </w:r>
      <w:r w:rsidRPr="006F360F">
        <w:rPr>
          <w:rFonts w:cs="Arial"/>
          <w:b/>
          <w:szCs w:val="18"/>
        </w:rPr>
        <w:t>est tenu d'assurer l'égalité des usagers devant le service public et de veiller au respect des principes de laïcité et de neutralité du service public</w:t>
      </w:r>
      <w:r w:rsidRPr="006F360F">
        <w:rPr>
          <w:rFonts w:cs="Arial"/>
          <w:szCs w:val="18"/>
        </w:rPr>
        <w:t xml:space="preserve">. </w:t>
      </w:r>
    </w:p>
    <w:p w:rsidR="00785367" w:rsidRPr="006F360F" w:rsidRDefault="00785367" w:rsidP="00785367">
      <w:pPr>
        <w:rPr>
          <w:rFonts w:cs="Arial"/>
          <w:szCs w:val="18"/>
        </w:rPr>
      </w:pPr>
    </w:p>
    <w:p w:rsidR="00785367" w:rsidRPr="006F360F" w:rsidRDefault="00785367" w:rsidP="00785367">
      <w:pPr>
        <w:rPr>
          <w:szCs w:val="18"/>
        </w:rPr>
      </w:pPr>
      <w:r w:rsidRPr="006F360F">
        <w:rPr>
          <w:rFonts w:cs="Arial"/>
          <w:szCs w:val="18"/>
        </w:rPr>
        <w:t>Il prend les mesures nécessaires à cet effet et, en particulier, il veille à ce que ses salariés ou les personnes sur lesquelles il exerce une autorité hiérarchique ou un pouvoir de direction, lorsqu'ils participent à l'exécution du service public, s'abstiennent notamment de manifester leurs opinions politiques ou religieuses, traitent de façon égale toutes les personnes et respectent leur liberté de conscience et leur dignité.</w:t>
      </w:r>
    </w:p>
    <w:p w:rsidR="00785367" w:rsidRPr="00F01B06" w:rsidRDefault="00785367" w:rsidP="00785367">
      <w:pPr>
        <w:rPr>
          <w:sz w:val="10"/>
          <w:szCs w:val="10"/>
        </w:rPr>
      </w:pPr>
    </w:p>
    <w:p w:rsidR="00785367" w:rsidRPr="006F360F" w:rsidRDefault="00785367" w:rsidP="00785367">
      <w:pPr>
        <w:rPr>
          <w:szCs w:val="18"/>
        </w:rPr>
      </w:pPr>
      <w:r w:rsidRPr="006F360F">
        <w:rPr>
          <w:szCs w:val="18"/>
        </w:rPr>
        <w:t>Le titulaire du contrat veille également à ce que toute autre personne à laquelle il confie pour partie l'exécution du service public s'assure du respect de ces obligations (exemple : sous-traitant). Il est tenu de communiquer à l'acheteur sur demande chacun des contrats de sous-traitance ayant pour effet de faire participer le sous-traitant à l'exécution de la mission de service public.</w:t>
      </w:r>
    </w:p>
    <w:p w:rsidR="00785367" w:rsidRPr="00F01B06" w:rsidRDefault="00785367" w:rsidP="00785367">
      <w:pPr>
        <w:rPr>
          <w:sz w:val="10"/>
          <w:szCs w:val="10"/>
        </w:rPr>
      </w:pPr>
    </w:p>
    <w:p w:rsidR="00785367" w:rsidRDefault="00785367" w:rsidP="00785367">
      <w:pPr>
        <w:rPr>
          <w:szCs w:val="18"/>
        </w:rPr>
      </w:pPr>
      <w:r w:rsidRPr="00F01B06">
        <w:rPr>
          <w:szCs w:val="18"/>
          <w:u w:val="single"/>
        </w:rPr>
        <w:t>Modalités de contrôle et de sanction du cocontractant</w:t>
      </w:r>
      <w:r w:rsidRPr="006F360F">
        <w:rPr>
          <w:szCs w:val="18"/>
        </w:rPr>
        <w:t xml:space="preserve"> : si le </w:t>
      </w:r>
      <w:bookmarkStart w:id="152" w:name="_Hlk119578012"/>
      <w:r w:rsidRPr="006F360F">
        <w:rPr>
          <w:szCs w:val="18"/>
        </w:rPr>
        <w:t xml:space="preserve">pouvoir adjudicateur </w:t>
      </w:r>
      <w:bookmarkEnd w:id="152"/>
      <w:r w:rsidRPr="006F360F">
        <w:rPr>
          <w:szCs w:val="18"/>
        </w:rPr>
        <w:t xml:space="preserve">constate en cours d’exécution que les obligations susmentionnées ne sont pas respectées, il avise par écrit le titulaire afin que celui-ci puisse procéder (dans un délai définit dans le courrier) aux mesures nécessaires afin d’assurer le respect de la loi. Si malgré ce courrier le pouvoir adjudicateur constate que le titulaire n’a pas pris dans le délai imparti les mesures adaptées pour mettre en œuvre les obligations et faire cesser les manquements constatés, il pourra se voir appliquer une pénalité forfaitaire de </w:t>
      </w:r>
      <w:r w:rsidR="00F01B06">
        <w:rPr>
          <w:szCs w:val="18"/>
        </w:rPr>
        <w:t>10</w:t>
      </w:r>
      <w:r w:rsidRPr="006F360F">
        <w:rPr>
          <w:szCs w:val="18"/>
        </w:rPr>
        <w:t>0 € HT chaque fois que le pouvoir adjudicateur constate ce manquement suite à un contrôle inopiné sur site.</w:t>
      </w:r>
    </w:p>
    <w:p w:rsidR="00D66F67" w:rsidRPr="006F360F" w:rsidRDefault="00D66F67" w:rsidP="00785367">
      <w:pPr>
        <w:rPr>
          <w:szCs w:val="18"/>
        </w:rPr>
      </w:pPr>
    </w:p>
    <w:p w:rsidR="00135559" w:rsidRDefault="00135559" w:rsidP="00135559"/>
    <w:p w:rsidR="00785367" w:rsidRPr="00785367" w:rsidRDefault="00785367" w:rsidP="00785367">
      <w:pPr>
        <w:pStyle w:val="TITRE100"/>
      </w:pPr>
      <w:bookmarkStart w:id="153" w:name="_Toc148692612"/>
      <w:bookmarkStart w:id="154" w:name="_Toc119597391"/>
      <w:r>
        <w:t xml:space="preserve">ARTICLE 8 : VERIFICATION ET </w:t>
      </w:r>
      <w:r w:rsidR="00D66F67">
        <w:t>VALIDATION</w:t>
      </w:r>
      <w:r>
        <w:t xml:space="preserve"> DES PRESTATIONS</w:t>
      </w:r>
      <w:bookmarkEnd w:id="153"/>
      <w:r>
        <w:t xml:space="preserve"> </w:t>
      </w:r>
      <w:bookmarkEnd w:id="154"/>
    </w:p>
    <w:p w:rsidR="00785367" w:rsidRDefault="00785367" w:rsidP="00785367">
      <w:pPr>
        <w:rPr>
          <w:rFonts w:cs="Arial"/>
          <w:szCs w:val="18"/>
          <w:u w:val="single"/>
        </w:rPr>
      </w:pPr>
    </w:p>
    <w:p w:rsidR="00785367" w:rsidRDefault="00785367" w:rsidP="00785367">
      <w:r>
        <w:rPr>
          <w:rFonts w:cs="Arial"/>
          <w:szCs w:val="18"/>
        </w:rPr>
        <w:t xml:space="preserve">Le titulaire exécute les prestations concernées dans les délais fixés </w:t>
      </w:r>
      <w:r w:rsidR="008540AE">
        <w:rPr>
          <w:szCs w:val="18"/>
        </w:rPr>
        <w:t>dans chaque marché subséquent.</w:t>
      </w:r>
    </w:p>
    <w:p w:rsidR="00785367" w:rsidRPr="00E926EB" w:rsidRDefault="00785367" w:rsidP="00785367">
      <w:pPr>
        <w:rPr>
          <w:rFonts w:cs="Arial"/>
          <w:color w:val="000000"/>
          <w:sz w:val="10"/>
          <w:szCs w:val="10"/>
        </w:rPr>
      </w:pPr>
    </w:p>
    <w:p w:rsidR="00785367" w:rsidRDefault="00785367" w:rsidP="00785367">
      <w:pPr>
        <w:rPr>
          <w:rFonts w:cs="Arial"/>
          <w:color w:val="000000"/>
          <w:szCs w:val="18"/>
        </w:rPr>
      </w:pPr>
      <w:r w:rsidRPr="00CB214C">
        <w:rPr>
          <w:rFonts w:cs="Arial"/>
          <w:color w:val="000000"/>
          <w:szCs w:val="18"/>
        </w:rPr>
        <w:t>La mission du maître d'œuvre</w:t>
      </w:r>
      <w:r>
        <w:rPr>
          <w:rFonts w:cs="Arial"/>
          <w:color w:val="000000"/>
          <w:szCs w:val="18"/>
        </w:rPr>
        <w:t xml:space="preserve"> </w:t>
      </w:r>
      <w:r w:rsidRPr="00CB214C">
        <w:rPr>
          <w:rFonts w:cs="Arial"/>
          <w:color w:val="000000"/>
          <w:szCs w:val="18"/>
        </w:rPr>
        <w:t>s'achève</w:t>
      </w:r>
      <w:r>
        <w:rPr>
          <w:rFonts w:cs="Arial"/>
          <w:color w:val="000000"/>
          <w:szCs w:val="18"/>
        </w:rPr>
        <w:t>, pour chaque marché subséquent,</w:t>
      </w:r>
      <w:r w:rsidRPr="00CB214C">
        <w:rPr>
          <w:rFonts w:cs="Arial"/>
          <w:color w:val="000000"/>
          <w:szCs w:val="18"/>
        </w:rPr>
        <w:t xml:space="preserve"> à la fin de la période de garantie de parfait achèvement applicable aux marchés de travaux, ou après prolongation de ce délai</w:t>
      </w:r>
      <w:r>
        <w:rPr>
          <w:rFonts w:cs="Arial"/>
          <w:color w:val="000000"/>
          <w:szCs w:val="18"/>
        </w:rPr>
        <w:t>.</w:t>
      </w:r>
    </w:p>
    <w:p w:rsidR="00785367" w:rsidRDefault="00785367" w:rsidP="00785367">
      <w:pPr>
        <w:rPr>
          <w:rFonts w:eastAsia="Calibri"/>
          <w:szCs w:val="18"/>
          <w:lang w:eastAsia="en-US"/>
        </w:rPr>
      </w:pPr>
    </w:p>
    <w:p w:rsidR="00785367" w:rsidRPr="00CB214C" w:rsidRDefault="00785367" w:rsidP="00785367">
      <w:pPr>
        <w:rPr>
          <w:rFonts w:eastAsia="Calibri"/>
          <w:szCs w:val="18"/>
          <w:lang w:eastAsia="en-US"/>
        </w:rPr>
      </w:pPr>
      <w:r w:rsidRPr="00CB214C">
        <w:rPr>
          <w:rFonts w:eastAsia="Calibri"/>
          <w:szCs w:val="18"/>
          <w:lang w:eastAsia="en-US"/>
        </w:rPr>
        <w:t xml:space="preserve">L’achèvement du marché </w:t>
      </w:r>
      <w:r>
        <w:rPr>
          <w:rFonts w:eastAsia="Calibri"/>
          <w:szCs w:val="18"/>
          <w:lang w:eastAsia="en-US"/>
        </w:rPr>
        <w:t xml:space="preserve">subséquent </w:t>
      </w:r>
      <w:r w:rsidRPr="00CB214C">
        <w:rPr>
          <w:rFonts w:eastAsia="Calibri"/>
          <w:szCs w:val="18"/>
          <w:lang w:eastAsia="en-US"/>
        </w:rPr>
        <w:t>de maîtrise d’œuvre et le versement du solde du marché ne pourront être décidés qu’après la présentation des documents suivants par le titulaire :</w:t>
      </w:r>
    </w:p>
    <w:p w:rsidR="00785367" w:rsidRPr="00CB214C" w:rsidRDefault="00785367" w:rsidP="008F2B6A">
      <w:pPr>
        <w:numPr>
          <w:ilvl w:val="0"/>
          <w:numId w:val="24"/>
        </w:numPr>
        <w:rPr>
          <w:rFonts w:eastAsia="Calibri"/>
          <w:szCs w:val="18"/>
          <w:lang w:eastAsia="en-US"/>
        </w:rPr>
      </w:pPr>
      <w:r w:rsidRPr="00CB214C">
        <w:rPr>
          <w:rFonts w:eastAsia="Calibri"/>
          <w:szCs w:val="18"/>
          <w:lang w:eastAsia="en-US"/>
        </w:rPr>
        <w:lastRenderedPageBreak/>
        <w:t>Tous procès-verbaux de levée définitive de réserves pour l’ensemble des marchés de travaux,</w:t>
      </w:r>
    </w:p>
    <w:p w:rsidR="00785367" w:rsidRPr="00CB214C" w:rsidRDefault="00785367" w:rsidP="008F2B6A">
      <w:pPr>
        <w:numPr>
          <w:ilvl w:val="0"/>
          <w:numId w:val="24"/>
        </w:numPr>
        <w:rPr>
          <w:rFonts w:eastAsia="Calibri"/>
          <w:szCs w:val="18"/>
          <w:lang w:eastAsia="en-US"/>
        </w:rPr>
      </w:pPr>
      <w:r w:rsidRPr="00CB214C">
        <w:rPr>
          <w:rFonts w:eastAsia="Calibri"/>
          <w:szCs w:val="18"/>
          <w:lang w:eastAsia="en-US"/>
        </w:rPr>
        <w:t>Toute analyse des réclamations</w:t>
      </w:r>
      <w:r w:rsidRPr="00C936DA">
        <w:rPr>
          <w:rFonts w:eastAsia="Calibri"/>
          <w:szCs w:val="18"/>
          <w:lang w:eastAsia="en-US"/>
        </w:rPr>
        <w:t xml:space="preserve"> des marchés de travaux</w:t>
      </w:r>
      <w:r w:rsidRPr="00CB214C">
        <w:rPr>
          <w:rFonts w:eastAsia="Calibri"/>
          <w:szCs w:val="18"/>
          <w:lang w:eastAsia="en-US"/>
        </w:rPr>
        <w:t>,</w:t>
      </w:r>
    </w:p>
    <w:p w:rsidR="00785367" w:rsidRPr="00CB214C" w:rsidRDefault="00785367" w:rsidP="008F2B6A">
      <w:pPr>
        <w:numPr>
          <w:ilvl w:val="0"/>
          <w:numId w:val="24"/>
        </w:numPr>
        <w:rPr>
          <w:rFonts w:eastAsia="Calibri"/>
          <w:szCs w:val="18"/>
          <w:lang w:eastAsia="en-US"/>
        </w:rPr>
      </w:pPr>
      <w:r w:rsidRPr="00CB214C">
        <w:rPr>
          <w:rFonts w:eastAsia="Calibri"/>
          <w:szCs w:val="18"/>
          <w:lang w:eastAsia="en-US"/>
        </w:rPr>
        <w:t>L’ensemble des documents de gestion financière nécessaire pour solder les marchés de travaux,</w:t>
      </w:r>
    </w:p>
    <w:p w:rsidR="00785367" w:rsidRPr="00EF7E3E" w:rsidRDefault="00785367" w:rsidP="008F2B6A">
      <w:pPr>
        <w:numPr>
          <w:ilvl w:val="0"/>
          <w:numId w:val="24"/>
        </w:numPr>
        <w:rPr>
          <w:rFonts w:eastAsia="Calibri"/>
          <w:szCs w:val="18"/>
          <w:lang w:eastAsia="en-US"/>
        </w:rPr>
      </w:pPr>
      <w:r w:rsidRPr="00CB214C">
        <w:rPr>
          <w:rFonts w:eastAsia="Calibri"/>
          <w:szCs w:val="18"/>
          <w:lang w:eastAsia="en-US"/>
        </w:rPr>
        <w:t>Une présentation synthétique d’un bilan d’opération par évènement notable du chantier, tout particulièrement par corps d’état les travaux supplémentaires et les retards. Il sera précisé l’origine, les incidences et les actions menées pour aboutir à l’achèvement de l’ouvrage.</w:t>
      </w:r>
    </w:p>
    <w:p w:rsidR="00785367" w:rsidRPr="00CB214C" w:rsidRDefault="00785367" w:rsidP="00785367">
      <w:pPr>
        <w:pStyle w:val="Titre2"/>
      </w:pPr>
      <w:bookmarkStart w:id="155" w:name="_Toc119597392"/>
      <w:bookmarkStart w:id="156" w:name="_Toc148692613"/>
      <w:r w:rsidRPr="00CB214C">
        <w:t>8.1 Modalités de vérification</w:t>
      </w:r>
      <w:bookmarkEnd w:id="155"/>
      <w:bookmarkEnd w:id="156"/>
      <w:r w:rsidRPr="00CB214C">
        <w:t xml:space="preserve">  </w:t>
      </w:r>
    </w:p>
    <w:p w:rsidR="00785367" w:rsidRPr="00FD206F" w:rsidRDefault="00785367" w:rsidP="00785367">
      <w:r w:rsidRPr="00FD206F">
        <w:rPr>
          <w:rFonts w:cs="Arial"/>
          <w:szCs w:val="18"/>
        </w:rPr>
        <w:t>Les opérations de vérification et d’admission s’effectuent en application du CCAG sauf en ce qui concerne les dérogations indiquées ci-dessous.</w:t>
      </w:r>
    </w:p>
    <w:p w:rsidR="00785367" w:rsidRPr="00C9053E" w:rsidRDefault="00785367" w:rsidP="00785367">
      <w:pPr>
        <w:rPr>
          <w:rFonts w:cs="Arial"/>
          <w:sz w:val="10"/>
          <w:szCs w:val="10"/>
        </w:rPr>
      </w:pPr>
    </w:p>
    <w:p w:rsidR="00785367" w:rsidRPr="00EF7E3E" w:rsidRDefault="00785367" w:rsidP="00785367">
      <w:pPr>
        <w:rPr>
          <w:rFonts w:cs="Arial"/>
          <w:szCs w:val="18"/>
        </w:rPr>
      </w:pPr>
      <w:r w:rsidRPr="00FD206F">
        <w:rPr>
          <w:rFonts w:cs="Arial"/>
          <w:szCs w:val="18"/>
        </w:rPr>
        <w:t>Par dérogation à l’article 20.3.2 du CCAG-MOE, les vérifications sont effectuées uniquement dans les locaux d’AMU.</w:t>
      </w:r>
    </w:p>
    <w:p w:rsidR="00785367" w:rsidRPr="00CB214C" w:rsidRDefault="00785367" w:rsidP="00785367">
      <w:pPr>
        <w:pStyle w:val="Titre2"/>
      </w:pPr>
      <w:bookmarkStart w:id="157" w:name="_Toc119597393"/>
      <w:bookmarkStart w:id="158" w:name="_Toc148692614"/>
      <w:r w:rsidRPr="00CB214C">
        <w:t>8.</w:t>
      </w:r>
      <w:r>
        <w:t>2</w:t>
      </w:r>
      <w:r w:rsidRPr="00CB214C">
        <w:t xml:space="preserve"> Admission en l'état ou avec observations, ajournement, réfaction et rejet</w:t>
      </w:r>
      <w:bookmarkEnd w:id="157"/>
      <w:bookmarkEnd w:id="158"/>
    </w:p>
    <w:p w:rsidR="00785367" w:rsidRPr="009B162C" w:rsidRDefault="00785367" w:rsidP="00785367">
      <w:r w:rsidRPr="009B162C">
        <w:t>L</w:t>
      </w:r>
      <w:r>
        <w:t>’admission</w:t>
      </w:r>
      <w:r w:rsidRPr="009B162C">
        <w:t xml:space="preserve"> est la décision du Maître d’ouvrage prévue à l’article 2</w:t>
      </w:r>
      <w:r>
        <w:t>1</w:t>
      </w:r>
      <w:r w:rsidRPr="009B162C">
        <w:t xml:space="preserve"> du CCAG</w:t>
      </w:r>
      <w:r>
        <w:t xml:space="preserve"> MOE</w:t>
      </w:r>
      <w:r w:rsidRPr="009B162C">
        <w:t>, étant rappelé (2</w:t>
      </w:r>
      <w:r>
        <w:t>1</w:t>
      </w:r>
      <w:r w:rsidRPr="009B162C">
        <w:t>.1) qu’il y a « </w:t>
      </w:r>
      <w:r>
        <w:t>admission</w:t>
      </w:r>
      <w:r w:rsidRPr="009B162C">
        <w:t xml:space="preserve"> des prestations si elles répondent aux stipulations du marché ».</w:t>
      </w:r>
    </w:p>
    <w:p w:rsidR="00785367" w:rsidRPr="00E926EB" w:rsidRDefault="00785367" w:rsidP="00785367">
      <w:pPr>
        <w:pStyle w:val="Txttitre3"/>
        <w:spacing w:before="0" w:line="240" w:lineRule="auto"/>
        <w:ind w:left="284"/>
        <w:rPr>
          <w:rFonts w:ascii="Verdana" w:hAnsi="Verdana" w:cs="Arial"/>
          <w:sz w:val="10"/>
          <w:szCs w:val="10"/>
        </w:rPr>
      </w:pPr>
    </w:p>
    <w:p w:rsidR="00785367" w:rsidRPr="00790C64" w:rsidRDefault="00785367" w:rsidP="00785367">
      <w:pPr>
        <w:pStyle w:val="Txttitre3"/>
        <w:spacing w:before="0" w:line="240" w:lineRule="auto"/>
        <w:ind w:left="0"/>
        <w:rPr>
          <w:rFonts w:ascii="Verdana" w:hAnsi="Verdana" w:cs="Arial"/>
          <w:sz w:val="18"/>
          <w:szCs w:val="18"/>
        </w:rPr>
      </w:pPr>
      <w:r w:rsidRPr="00790C64">
        <w:rPr>
          <w:rFonts w:ascii="Verdana" w:hAnsi="Verdana" w:cs="Arial"/>
          <w:sz w:val="18"/>
          <w:szCs w:val="18"/>
        </w:rPr>
        <w:t>L</w:t>
      </w:r>
      <w:r>
        <w:rPr>
          <w:rFonts w:ascii="Verdana" w:hAnsi="Verdana" w:cs="Arial"/>
          <w:sz w:val="18"/>
          <w:szCs w:val="18"/>
        </w:rPr>
        <w:t xml:space="preserve">’admission </w:t>
      </w:r>
      <w:r w:rsidRPr="00790C64">
        <w:rPr>
          <w:rFonts w:ascii="Verdana" w:hAnsi="Verdana" w:cs="Arial"/>
          <w:sz w:val="18"/>
          <w:szCs w:val="18"/>
        </w:rPr>
        <w:t>ne</w:t>
      </w:r>
      <w:r>
        <w:rPr>
          <w:rFonts w:ascii="Verdana" w:hAnsi="Verdana" w:cs="Arial"/>
          <w:sz w:val="18"/>
          <w:szCs w:val="18"/>
        </w:rPr>
        <w:t xml:space="preserve"> fait pas obstacle à ce que le M</w:t>
      </w:r>
      <w:r w:rsidRPr="00790C64">
        <w:rPr>
          <w:rFonts w:ascii="Verdana" w:hAnsi="Verdana" w:cs="Arial"/>
          <w:sz w:val="18"/>
          <w:szCs w:val="18"/>
        </w:rPr>
        <w:t>aître d’ouvrage stipule des directives, souhaits, observations à prendre en compte par le maître d’œuvre, dans les éléments suivants de sa mission.</w:t>
      </w:r>
    </w:p>
    <w:p w:rsidR="00785367" w:rsidRPr="00C9053E" w:rsidRDefault="00785367" w:rsidP="00785367">
      <w:pPr>
        <w:pStyle w:val="Txttitre3"/>
        <w:spacing w:before="0" w:line="240" w:lineRule="auto"/>
        <w:ind w:left="284"/>
        <w:rPr>
          <w:rFonts w:ascii="Verdana" w:hAnsi="Verdana" w:cs="Arial"/>
          <w:sz w:val="10"/>
          <w:szCs w:val="10"/>
        </w:rPr>
      </w:pPr>
    </w:p>
    <w:p w:rsidR="00785367" w:rsidRPr="00790C64" w:rsidRDefault="00785367" w:rsidP="00785367">
      <w:pPr>
        <w:pStyle w:val="Txttitre3"/>
        <w:spacing w:before="0" w:line="240" w:lineRule="auto"/>
        <w:ind w:left="0"/>
        <w:rPr>
          <w:rFonts w:ascii="Verdana" w:hAnsi="Verdana" w:cs="Arial"/>
          <w:sz w:val="18"/>
          <w:szCs w:val="18"/>
        </w:rPr>
      </w:pPr>
      <w:r>
        <w:rPr>
          <w:rFonts w:ascii="Verdana" w:hAnsi="Verdana" w:cs="Arial"/>
          <w:sz w:val="18"/>
          <w:szCs w:val="18"/>
        </w:rPr>
        <w:t>Dans tout autre cas, le M</w:t>
      </w:r>
      <w:r w:rsidRPr="00790C64">
        <w:rPr>
          <w:rFonts w:ascii="Verdana" w:hAnsi="Verdana" w:cs="Arial"/>
          <w:sz w:val="18"/>
          <w:szCs w:val="18"/>
        </w:rPr>
        <w:t>aître d’ouvrage utilise les autres possibilités prévues à l’article 2</w:t>
      </w:r>
      <w:r>
        <w:rPr>
          <w:rFonts w:ascii="Verdana" w:hAnsi="Verdana" w:cs="Arial"/>
          <w:sz w:val="18"/>
          <w:szCs w:val="18"/>
        </w:rPr>
        <w:t>1</w:t>
      </w:r>
      <w:r w:rsidRPr="00790C64">
        <w:rPr>
          <w:rFonts w:ascii="Verdana" w:hAnsi="Verdana" w:cs="Arial"/>
          <w:sz w:val="18"/>
          <w:szCs w:val="18"/>
        </w:rPr>
        <w:t xml:space="preserve"> du CCAG </w:t>
      </w:r>
      <w:r>
        <w:rPr>
          <w:rFonts w:ascii="Verdana" w:hAnsi="Verdana" w:cs="Arial"/>
          <w:sz w:val="18"/>
          <w:szCs w:val="18"/>
        </w:rPr>
        <w:t>MOE</w:t>
      </w:r>
      <w:r w:rsidRPr="00790C64">
        <w:rPr>
          <w:rFonts w:ascii="Verdana" w:hAnsi="Verdana" w:cs="Arial"/>
          <w:sz w:val="18"/>
          <w:szCs w:val="18"/>
        </w:rPr>
        <w:t>:</w:t>
      </w:r>
    </w:p>
    <w:p w:rsidR="00785367" w:rsidRPr="00790C64" w:rsidRDefault="00785367" w:rsidP="008F2B6A">
      <w:pPr>
        <w:pStyle w:val="Txttitre3"/>
        <w:numPr>
          <w:ilvl w:val="0"/>
          <w:numId w:val="5"/>
        </w:numPr>
        <w:spacing w:before="0" w:line="240" w:lineRule="auto"/>
        <w:ind w:left="851"/>
        <w:rPr>
          <w:rFonts w:ascii="Verdana" w:hAnsi="Verdana" w:cs="Arial"/>
          <w:sz w:val="18"/>
          <w:szCs w:val="18"/>
        </w:rPr>
      </w:pPr>
      <w:r w:rsidRPr="00790C64">
        <w:rPr>
          <w:rFonts w:ascii="Verdana" w:hAnsi="Verdana" w:cs="Arial"/>
          <w:sz w:val="18"/>
          <w:szCs w:val="18"/>
        </w:rPr>
        <w:t>Ajournement</w:t>
      </w:r>
      <w:r>
        <w:rPr>
          <w:rFonts w:ascii="Verdana" w:hAnsi="Verdana" w:cs="Arial"/>
          <w:sz w:val="18"/>
          <w:szCs w:val="18"/>
        </w:rPr>
        <w:t>.</w:t>
      </w:r>
    </w:p>
    <w:p w:rsidR="00785367" w:rsidRPr="00790C64" w:rsidRDefault="00785367" w:rsidP="00F01B06">
      <w:pPr>
        <w:pStyle w:val="Txttitre3"/>
        <w:numPr>
          <w:ilvl w:val="0"/>
          <w:numId w:val="5"/>
        </w:numPr>
        <w:spacing w:before="0" w:line="240" w:lineRule="auto"/>
        <w:ind w:left="709" w:hanging="218"/>
        <w:rPr>
          <w:rFonts w:ascii="Verdana" w:hAnsi="Verdana" w:cs="Arial"/>
          <w:sz w:val="18"/>
          <w:szCs w:val="18"/>
        </w:rPr>
      </w:pPr>
      <w:r>
        <w:rPr>
          <w:rFonts w:ascii="Verdana" w:hAnsi="Verdana" w:cs="Arial"/>
          <w:sz w:val="18"/>
          <w:szCs w:val="18"/>
        </w:rPr>
        <w:t>Admission</w:t>
      </w:r>
      <w:r w:rsidRPr="00790C64">
        <w:rPr>
          <w:rFonts w:ascii="Verdana" w:hAnsi="Verdana" w:cs="Arial"/>
          <w:sz w:val="18"/>
          <w:szCs w:val="18"/>
        </w:rPr>
        <w:t xml:space="preserve"> avec réfaction (et dans ce cas, la valeur figurant à l’acte d’engagement est diminuée du </w:t>
      </w:r>
      <w:r>
        <w:rPr>
          <w:rFonts w:ascii="Verdana" w:hAnsi="Verdana" w:cs="Arial"/>
          <w:sz w:val="18"/>
          <w:szCs w:val="18"/>
        </w:rPr>
        <w:t>montant de la réfaction).</w:t>
      </w:r>
    </w:p>
    <w:p w:rsidR="00785367" w:rsidRDefault="00785367" w:rsidP="008F2B6A">
      <w:pPr>
        <w:pStyle w:val="Txttitre3"/>
        <w:numPr>
          <w:ilvl w:val="0"/>
          <w:numId w:val="5"/>
        </w:numPr>
        <w:spacing w:before="0" w:line="240" w:lineRule="auto"/>
        <w:ind w:left="851"/>
        <w:rPr>
          <w:rFonts w:ascii="Verdana" w:hAnsi="Verdana" w:cs="Arial"/>
          <w:sz w:val="18"/>
          <w:szCs w:val="18"/>
        </w:rPr>
      </w:pPr>
      <w:r w:rsidRPr="00790C64">
        <w:rPr>
          <w:rFonts w:ascii="Verdana" w:hAnsi="Verdana" w:cs="Arial"/>
          <w:sz w:val="18"/>
          <w:szCs w:val="18"/>
        </w:rPr>
        <w:t>Rejet.</w:t>
      </w:r>
    </w:p>
    <w:p w:rsidR="00785367" w:rsidRPr="00E103DF" w:rsidRDefault="00785367" w:rsidP="00785367">
      <w:pPr>
        <w:pStyle w:val="Txttitre3"/>
        <w:spacing w:before="0" w:line="240" w:lineRule="auto"/>
        <w:ind w:left="0"/>
        <w:rPr>
          <w:rFonts w:ascii="Verdana" w:hAnsi="Verdana" w:cs="Arial"/>
          <w:sz w:val="16"/>
          <w:szCs w:val="16"/>
        </w:rPr>
      </w:pPr>
    </w:p>
    <w:p w:rsidR="00785367" w:rsidRDefault="00785367" w:rsidP="00785367">
      <w:pPr>
        <w:rPr>
          <w:rFonts w:cs="Arial"/>
          <w:szCs w:val="18"/>
        </w:rPr>
      </w:pPr>
      <w:r>
        <w:rPr>
          <w:rFonts w:cs="Arial"/>
          <w:szCs w:val="18"/>
        </w:rPr>
        <w:t>Par complément à</w:t>
      </w:r>
      <w:r w:rsidRPr="0032012E">
        <w:rPr>
          <w:rFonts w:cs="Arial"/>
          <w:szCs w:val="18"/>
        </w:rPr>
        <w:t xml:space="preserve"> l’article 21 du CCAG-MOE</w:t>
      </w:r>
      <w:r>
        <w:rPr>
          <w:rFonts w:cs="Arial"/>
          <w:szCs w:val="18"/>
        </w:rPr>
        <w:t xml:space="preserve">, l’admission sera réalisée par attestation de service fait. </w:t>
      </w:r>
    </w:p>
    <w:p w:rsidR="00785367" w:rsidRPr="006F360F" w:rsidRDefault="00785367" w:rsidP="00785367">
      <w:pPr>
        <w:rPr>
          <w:rFonts w:cs="Arial"/>
          <w:szCs w:val="18"/>
        </w:rPr>
      </w:pPr>
      <w:r w:rsidRPr="006F360F">
        <w:rPr>
          <w:rFonts w:cs="Arial"/>
          <w:szCs w:val="18"/>
        </w:rPr>
        <w:t xml:space="preserve">Par dérogation à l’article 21 du CCAG-MOE, si le maître d'ouvrage ne notifie pas sa décision dans le délai de vérification, les prestations </w:t>
      </w:r>
      <w:r w:rsidRPr="006F360F">
        <w:rPr>
          <w:rFonts w:cs="Arial"/>
          <w:b/>
          <w:szCs w:val="18"/>
          <w:u w:val="single"/>
        </w:rPr>
        <w:t>ne sont pas</w:t>
      </w:r>
      <w:r w:rsidRPr="006F360F">
        <w:rPr>
          <w:rFonts w:cs="Arial"/>
          <w:szCs w:val="18"/>
        </w:rPr>
        <w:t xml:space="preserve"> considérées comme admises.</w:t>
      </w:r>
    </w:p>
    <w:p w:rsidR="00DE3215" w:rsidRDefault="00DE3215" w:rsidP="00785367">
      <w:pPr>
        <w:pStyle w:val="Txttitre3"/>
        <w:spacing w:before="0" w:line="240" w:lineRule="auto"/>
        <w:ind w:left="284"/>
        <w:rPr>
          <w:rFonts w:ascii="Verdana" w:hAnsi="Verdana" w:cs="Arial"/>
          <w:sz w:val="18"/>
          <w:szCs w:val="18"/>
        </w:rPr>
      </w:pPr>
    </w:p>
    <w:p w:rsidR="00785367" w:rsidRDefault="00785367" w:rsidP="00135559"/>
    <w:p w:rsidR="00785367" w:rsidRDefault="0082340C" w:rsidP="006A3768">
      <w:pPr>
        <w:pStyle w:val="TITRE100"/>
      </w:pPr>
      <w:bookmarkStart w:id="159" w:name="_Toc148692615"/>
      <w:r w:rsidRPr="00790C64">
        <w:t xml:space="preserve">ARTICLE </w:t>
      </w:r>
      <w:r w:rsidR="00785367">
        <w:t>9</w:t>
      </w:r>
      <w:r w:rsidR="008D550C" w:rsidRPr="00790C64">
        <w:t xml:space="preserve"> </w:t>
      </w:r>
      <w:r w:rsidR="006D024B" w:rsidRPr="00790C64">
        <w:t>–</w:t>
      </w:r>
      <w:r w:rsidR="008D550C" w:rsidRPr="00790C64">
        <w:t xml:space="preserve"> </w:t>
      </w:r>
      <w:r w:rsidR="00785367">
        <w:t>PRIX – PASSATION DES MARCH</w:t>
      </w:r>
      <w:r w:rsidR="00AA2B59">
        <w:t>E</w:t>
      </w:r>
      <w:r w:rsidR="00785367">
        <w:t>S SUBSEQUENTS</w:t>
      </w:r>
      <w:bookmarkEnd w:id="159"/>
      <w:r w:rsidR="00785367">
        <w:t xml:space="preserve"> </w:t>
      </w:r>
    </w:p>
    <w:p w:rsidR="00785367" w:rsidRDefault="00785367" w:rsidP="00EF7E3E">
      <w:pPr>
        <w:pStyle w:val="Titre2"/>
        <w:spacing w:after="0"/>
      </w:pPr>
      <w:bookmarkStart w:id="160" w:name="_Toc148692616"/>
      <w:r w:rsidRPr="00785367">
        <w:t>9.1 Forme et contenu des prix</w:t>
      </w:r>
      <w:bookmarkEnd w:id="160"/>
    </w:p>
    <w:p w:rsidR="00785367" w:rsidRPr="00004270" w:rsidRDefault="00785367" w:rsidP="00EF7E3E">
      <w:pPr>
        <w:keepNext/>
        <w:spacing w:after="60"/>
        <w:ind w:firstLine="708"/>
        <w:outlineLvl w:val="1"/>
        <w:rPr>
          <w:rFonts w:eastAsia="Arial Unicode MS" w:cs="Arial"/>
          <w:bCs/>
          <w:i/>
          <w:iCs/>
          <w:szCs w:val="18"/>
          <w:u w:val="single"/>
        </w:rPr>
      </w:pPr>
      <w:bookmarkStart w:id="161" w:name="_Toc119597396"/>
      <w:r w:rsidRPr="00004270">
        <w:rPr>
          <w:rFonts w:eastAsia="Arial Unicode MS" w:cs="Arial"/>
          <w:bCs/>
          <w:i/>
          <w:iCs/>
          <w:szCs w:val="18"/>
          <w:u w:val="single"/>
        </w:rPr>
        <w:t>9.1.1 Forme de prix de l’accord-cadre</w:t>
      </w:r>
      <w:bookmarkEnd w:id="161"/>
    </w:p>
    <w:p w:rsidR="00785367" w:rsidRPr="006F360F" w:rsidRDefault="00785367" w:rsidP="00785367">
      <w:pPr>
        <w:autoSpaceDE w:val="0"/>
        <w:autoSpaceDN w:val="0"/>
        <w:adjustRightInd w:val="0"/>
        <w:rPr>
          <w:rFonts w:cs="Calibri"/>
          <w:b/>
          <w:iCs/>
          <w:szCs w:val="18"/>
        </w:rPr>
      </w:pPr>
      <w:r w:rsidRPr="006F360F">
        <w:rPr>
          <w:rFonts w:cs="Calibri"/>
          <w:iCs/>
          <w:szCs w:val="18"/>
        </w:rPr>
        <w:t>L’accord cadre définit un cadre de marché,</w:t>
      </w:r>
      <w:r w:rsidRPr="006F360F">
        <w:rPr>
          <w:rFonts w:cs="Calibri"/>
          <w:b/>
          <w:iCs/>
          <w:szCs w:val="18"/>
        </w:rPr>
        <w:t xml:space="preserve"> mais ne donne pas lieu à des règlements.</w:t>
      </w:r>
    </w:p>
    <w:p w:rsidR="00785367" w:rsidRPr="00EF7E3E" w:rsidRDefault="00785367" w:rsidP="00EF7E3E">
      <w:pPr>
        <w:autoSpaceDE w:val="0"/>
        <w:autoSpaceDN w:val="0"/>
        <w:adjustRightInd w:val="0"/>
        <w:rPr>
          <w:rFonts w:cs="Calibri"/>
          <w:b/>
          <w:iCs/>
          <w:szCs w:val="18"/>
        </w:rPr>
      </w:pPr>
      <w:r w:rsidRPr="006F360F">
        <w:rPr>
          <w:rFonts w:cs="Calibri"/>
          <w:iCs/>
          <w:szCs w:val="18"/>
        </w:rPr>
        <w:t xml:space="preserve">Les taux indiqués dans l’annexe financière de l’accord-cadre sont considérés comme des « taux plafonds» </w:t>
      </w:r>
      <w:r w:rsidRPr="006F360F">
        <w:rPr>
          <w:rFonts w:cs="Calibri"/>
          <w:b/>
          <w:iCs/>
          <w:szCs w:val="18"/>
          <w:u w:val="single"/>
        </w:rPr>
        <w:t>devant être respectés pour l’élaboration des marchés subséquents.</w:t>
      </w:r>
    </w:p>
    <w:p w:rsidR="00785367" w:rsidRPr="00004270" w:rsidRDefault="00785367" w:rsidP="00EF7E3E">
      <w:pPr>
        <w:keepNext/>
        <w:spacing w:before="240" w:after="60"/>
        <w:ind w:firstLine="708"/>
        <w:outlineLvl w:val="1"/>
        <w:rPr>
          <w:rFonts w:eastAsia="Arial Unicode MS" w:cs="Arial"/>
          <w:bCs/>
          <w:i/>
          <w:iCs/>
          <w:szCs w:val="18"/>
          <w:u w:val="single"/>
        </w:rPr>
      </w:pPr>
      <w:bookmarkStart w:id="162" w:name="_Toc108182975"/>
      <w:bookmarkStart w:id="163" w:name="_Toc119597397"/>
      <w:r w:rsidRPr="00004270">
        <w:rPr>
          <w:rFonts w:eastAsia="Arial Unicode MS" w:cs="Arial"/>
          <w:bCs/>
          <w:i/>
          <w:iCs/>
          <w:szCs w:val="18"/>
          <w:u w:val="single"/>
        </w:rPr>
        <w:t>9.1.2 – Forme des prix des marchés subséquents</w:t>
      </w:r>
      <w:bookmarkEnd w:id="162"/>
      <w:bookmarkEnd w:id="163"/>
      <w:r w:rsidRPr="00004270">
        <w:rPr>
          <w:rFonts w:eastAsia="Arial Unicode MS" w:cs="Arial"/>
          <w:bCs/>
          <w:i/>
          <w:iCs/>
          <w:szCs w:val="18"/>
          <w:u w:val="single"/>
        </w:rPr>
        <w:t xml:space="preserve"> </w:t>
      </w:r>
    </w:p>
    <w:p w:rsidR="00785367" w:rsidRDefault="00785367" w:rsidP="00785367">
      <w:pPr>
        <w:rPr>
          <w:rFonts w:cs="Arial"/>
          <w:szCs w:val="18"/>
        </w:rPr>
      </w:pPr>
      <w:r w:rsidRPr="005E3937">
        <w:rPr>
          <w:rFonts w:cs="Arial"/>
          <w:szCs w:val="18"/>
        </w:rPr>
        <w:t>Les prix des marchés subséquents sont des prix forfaitaires.</w:t>
      </w:r>
    </w:p>
    <w:p w:rsidR="00785367" w:rsidRDefault="00785367" w:rsidP="00785367">
      <w:pPr>
        <w:rPr>
          <w:rFonts w:cs="Calibri"/>
          <w:iCs/>
          <w:szCs w:val="18"/>
        </w:rPr>
      </w:pPr>
      <w:r w:rsidRPr="006F360F">
        <w:rPr>
          <w:rFonts w:cs="Calibri"/>
          <w:iCs/>
          <w:szCs w:val="18"/>
        </w:rPr>
        <w:t>Le pouvoir adjudicateur vérifiera lors de la passation de chaque marché subséquent que ceux-ci respectent les taux plafonds de l’accord-cadre</w:t>
      </w:r>
      <w:r w:rsidR="00F01B06">
        <w:rPr>
          <w:rFonts w:cs="Calibri"/>
          <w:iCs/>
          <w:szCs w:val="18"/>
        </w:rPr>
        <w:t>.</w:t>
      </w:r>
    </w:p>
    <w:p w:rsidR="008540AE" w:rsidRPr="00F01B06" w:rsidRDefault="008540AE" w:rsidP="00785367">
      <w:pPr>
        <w:rPr>
          <w:rFonts w:cs="Calibri"/>
          <w:iCs/>
          <w:sz w:val="10"/>
          <w:szCs w:val="10"/>
        </w:rPr>
      </w:pPr>
    </w:p>
    <w:p w:rsidR="008540AE" w:rsidRDefault="008540AE" w:rsidP="00785367">
      <w:pPr>
        <w:rPr>
          <w:b/>
          <w:bCs/>
          <w:szCs w:val="18"/>
        </w:rPr>
      </w:pPr>
      <w:r>
        <w:rPr>
          <w:szCs w:val="18"/>
        </w:rPr>
        <w:t xml:space="preserve">Les prix des prestations sont indiqués pour chaque MS </w:t>
      </w:r>
      <w:r>
        <w:rPr>
          <w:b/>
          <w:bCs/>
          <w:szCs w:val="18"/>
        </w:rPr>
        <w:t>dans l’annexe financière du CCP valant AE du MS.</w:t>
      </w:r>
    </w:p>
    <w:p w:rsidR="00C9053E" w:rsidRPr="00C9053E" w:rsidRDefault="00C9053E" w:rsidP="00785367">
      <w:pPr>
        <w:rPr>
          <w:rFonts w:cs="Calibri"/>
          <w:iCs/>
          <w:sz w:val="10"/>
          <w:szCs w:val="10"/>
        </w:rPr>
      </w:pPr>
    </w:p>
    <w:p w:rsidR="00785367" w:rsidRPr="00004270" w:rsidRDefault="00785367" w:rsidP="00C9053E">
      <w:pPr>
        <w:keepNext/>
        <w:spacing w:after="60"/>
        <w:ind w:firstLine="708"/>
        <w:outlineLvl w:val="1"/>
        <w:rPr>
          <w:rFonts w:eastAsia="Arial Unicode MS" w:cs="Arial"/>
          <w:bCs/>
          <w:i/>
          <w:iCs/>
          <w:szCs w:val="18"/>
          <w:u w:val="single"/>
        </w:rPr>
      </w:pPr>
      <w:bookmarkStart w:id="164" w:name="_Toc108182976"/>
      <w:bookmarkStart w:id="165" w:name="_Toc119597398"/>
      <w:r w:rsidRPr="00004270">
        <w:rPr>
          <w:rFonts w:eastAsia="Arial Unicode MS" w:cs="Arial"/>
          <w:bCs/>
          <w:i/>
          <w:iCs/>
          <w:szCs w:val="18"/>
          <w:u w:val="single"/>
        </w:rPr>
        <w:t>9.1.3 Contenu des prix des marchés subséquents</w:t>
      </w:r>
      <w:bookmarkEnd w:id="164"/>
      <w:bookmarkEnd w:id="165"/>
    </w:p>
    <w:p w:rsidR="00785367" w:rsidRDefault="00785367" w:rsidP="00785367">
      <w:pPr>
        <w:rPr>
          <w:rFonts w:cs="Arial"/>
          <w:szCs w:val="18"/>
        </w:rPr>
      </w:pPr>
      <w:r w:rsidRPr="0032012E">
        <w:rPr>
          <w:rFonts w:cs="Arial"/>
          <w:b/>
          <w:szCs w:val="18"/>
        </w:rPr>
        <w:t xml:space="preserve">Les prix </w:t>
      </w:r>
      <w:r>
        <w:rPr>
          <w:rFonts w:cs="Arial"/>
          <w:b/>
          <w:szCs w:val="18"/>
        </w:rPr>
        <w:t xml:space="preserve">proposés </w:t>
      </w:r>
      <w:r w:rsidRPr="0032012E">
        <w:rPr>
          <w:rFonts w:cs="Arial"/>
          <w:b/>
          <w:szCs w:val="18"/>
        </w:rPr>
        <w:t>sont réputés comprendre</w:t>
      </w:r>
      <w:r w:rsidRPr="0032012E">
        <w:rPr>
          <w:rFonts w:cs="Arial"/>
          <w:szCs w:val="18"/>
        </w:rPr>
        <w:t> </w:t>
      </w:r>
      <w:r>
        <w:rPr>
          <w:rFonts w:cs="Arial"/>
          <w:szCs w:val="18"/>
        </w:rPr>
        <w:t>t</w:t>
      </w:r>
      <w:r w:rsidRPr="0032012E">
        <w:rPr>
          <w:rFonts w:cs="Arial"/>
          <w:szCs w:val="18"/>
        </w:rPr>
        <w:t>outes les charges fiscales ou autres, frappant obligatoirement les prestations, les frais afférents à l'assurance ainsi que toutes les autres dépenses nécessaires à l'exécution des prestations, les marges pour risque et les marges bénéficiaires</w:t>
      </w:r>
      <w:r>
        <w:rPr>
          <w:rFonts w:cs="Arial"/>
          <w:szCs w:val="18"/>
        </w:rPr>
        <w:t>.</w:t>
      </w:r>
    </w:p>
    <w:p w:rsidR="00785367" w:rsidRPr="00E926EB" w:rsidRDefault="00785367" w:rsidP="00785367">
      <w:pPr>
        <w:rPr>
          <w:rFonts w:cs="Arial"/>
          <w:sz w:val="10"/>
          <w:szCs w:val="10"/>
        </w:rPr>
      </w:pPr>
    </w:p>
    <w:p w:rsidR="00785367" w:rsidRPr="00DA780F" w:rsidRDefault="00785367" w:rsidP="00F01B06">
      <w:pPr>
        <w:pStyle w:val="05ARTICLENiv1-Texte"/>
        <w:spacing w:after="0"/>
        <w:rPr>
          <w:rFonts w:eastAsia="SimSun" w:cs="Arial"/>
          <w:noProof w:val="0"/>
          <w:szCs w:val="18"/>
        </w:rPr>
      </w:pPr>
      <w:r w:rsidRPr="005100A0">
        <w:rPr>
          <w:rStyle w:val="05ARTICLENiv1-TexteCarCar1"/>
        </w:rPr>
        <w:t>En complément de l’article 10.1.3 du CCAG-</w:t>
      </w:r>
      <w:r>
        <w:rPr>
          <w:rStyle w:val="05ARTICLENiv1-TexteCarCar1"/>
        </w:rPr>
        <w:t>MOE</w:t>
      </w:r>
      <w:r w:rsidRPr="005100A0">
        <w:rPr>
          <w:rStyle w:val="05ARTICLENiv1-TexteCarCar1"/>
        </w:rPr>
        <w:t xml:space="preserve">, </w:t>
      </w:r>
      <w:r w:rsidRPr="00DA780F">
        <w:rPr>
          <w:rFonts w:eastAsia="SimSun" w:cs="Arial"/>
          <w:noProof w:val="0"/>
          <w:szCs w:val="18"/>
        </w:rPr>
        <w:t>les précisions suivantes sont apportées en matière de contenu des prix :</w:t>
      </w:r>
    </w:p>
    <w:p w:rsidR="00785367" w:rsidRPr="001C7473" w:rsidRDefault="00785367" w:rsidP="008F2B6A">
      <w:pPr>
        <w:numPr>
          <w:ilvl w:val="0"/>
          <w:numId w:val="25"/>
        </w:numPr>
        <w:contextualSpacing/>
        <w:rPr>
          <w:rFonts w:eastAsia="Calibri"/>
          <w:szCs w:val="18"/>
          <w:lang w:eastAsia="en-US"/>
        </w:rPr>
      </w:pPr>
      <w:r w:rsidRPr="005937C7">
        <w:rPr>
          <w:rFonts w:eastAsia="Calibri"/>
          <w:szCs w:val="18"/>
          <w:lang w:eastAsia="en-US"/>
        </w:rPr>
        <w:t>En</w:t>
      </w:r>
      <w:r w:rsidRPr="001C7473">
        <w:rPr>
          <w:rFonts w:eastAsia="Calibri"/>
          <w:szCs w:val="18"/>
          <w:lang w:eastAsia="en-US"/>
        </w:rPr>
        <w:t xml:space="preserve"> cas de cotraitance conjointe ou solidaire, les prix du mandataire comprennent toutes les dépenses résultant de l’exécution des prestations, coordination et contrôle, y compris frais généraux, impôts taxes ou autre, une marge pour risque et bénéfice ainsi que tous les frais consécutifs aux mesures propres à pallier d’éventuelles défaillances des membres du groupement et les conséquences de ces défaillances.</w:t>
      </w:r>
    </w:p>
    <w:p w:rsidR="00785367" w:rsidRDefault="00785367" w:rsidP="008F2B6A">
      <w:pPr>
        <w:numPr>
          <w:ilvl w:val="0"/>
          <w:numId w:val="25"/>
        </w:numPr>
        <w:contextualSpacing/>
        <w:rPr>
          <w:rFonts w:eastAsia="Calibri"/>
          <w:szCs w:val="18"/>
          <w:lang w:eastAsia="en-US"/>
        </w:rPr>
      </w:pPr>
      <w:r w:rsidRPr="001C7473">
        <w:rPr>
          <w:rFonts w:eastAsia="Calibri"/>
          <w:szCs w:val="18"/>
          <w:lang w:eastAsia="en-US"/>
        </w:rPr>
        <w:t>En cas de sous-traitance les prix du marché sont réputés couvrir les frais de coordination et de contrôle par le titulaire des prestations confiées au sous-traitant, ainsi que les conséquences de ces défaillances.</w:t>
      </w:r>
    </w:p>
    <w:p w:rsidR="00785367" w:rsidRPr="005937C7" w:rsidRDefault="00785367" w:rsidP="008F2B6A">
      <w:pPr>
        <w:numPr>
          <w:ilvl w:val="0"/>
          <w:numId w:val="25"/>
        </w:numPr>
        <w:contextualSpacing/>
        <w:rPr>
          <w:rFonts w:eastAsia="Calibri"/>
          <w:szCs w:val="18"/>
          <w:lang w:eastAsia="en-US"/>
        </w:rPr>
      </w:pPr>
      <w:r w:rsidRPr="005937C7">
        <w:rPr>
          <w:rFonts w:eastAsia="Calibri"/>
          <w:szCs w:val="18"/>
          <w:lang w:eastAsia="en-US"/>
        </w:rPr>
        <w:t>Le prix du marché inclut la rémunération forfaitaire du titulaire au titre de la cession des droits de propriété intellectuelle, correspondant à 10% du prix du marché hors taxe.</w:t>
      </w:r>
    </w:p>
    <w:p w:rsidR="00785367" w:rsidRDefault="00785367" w:rsidP="00785367">
      <w:pPr>
        <w:rPr>
          <w:rFonts w:cs="Verdana"/>
          <w:b/>
          <w:bCs/>
          <w:szCs w:val="20"/>
        </w:rPr>
      </w:pPr>
    </w:p>
    <w:p w:rsidR="00785367" w:rsidRPr="00C9053E" w:rsidRDefault="00785367" w:rsidP="00785367">
      <w:pPr>
        <w:rPr>
          <w:rFonts w:cs="Arial"/>
          <w:bCs/>
          <w:szCs w:val="18"/>
        </w:rPr>
      </w:pPr>
      <w:r w:rsidRPr="00C9053E">
        <w:rPr>
          <w:rFonts w:cs="Verdana"/>
          <w:bCs/>
          <w:szCs w:val="20"/>
        </w:rPr>
        <w:t xml:space="preserve">Par dérogation à l’article 10.1.3 du CCAG-MOE, les prix sont également réputés comprendre l’ensemble des coûts relatifs à la mise en œuvre de mesures liées à la crise sanitaire de la </w:t>
      </w:r>
      <w:proofErr w:type="spellStart"/>
      <w:r w:rsidRPr="00C9053E">
        <w:rPr>
          <w:rFonts w:cs="Verdana"/>
          <w:bCs/>
          <w:szCs w:val="20"/>
        </w:rPr>
        <w:t>covid</w:t>
      </w:r>
      <w:proofErr w:type="spellEnd"/>
      <w:r w:rsidRPr="00C9053E">
        <w:rPr>
          <w:rFonts w:cs="Verdana"/>
          <w:bCs/>
          <w:szCs w:val="20"/>
        </w:rPr>
        <w:t xml:space="preserve"> 19 et toute autre crise sanitaire de même nature.</w:t>
      </w:r>
    </w:p>
    <w:p w:rsidR="008A7CB4" w:rsidRDefault="008A7CB4" w:rsidP="008A7CB4">
      <w:pPr>
        <w:pStyle w:val="Titre2"/>
      </w:pPr>
      <w:bookmarkStart w:id="166" w:name="_Toc119597399"/>
      <w:bookmarkStart w:id="167" w:name="_Toc148692617"/>
      <w:r>
        <w:lastRenderedPageBreak/>
        <w:t>9.2 Nature des prix</w:t>
      </w:r>
      <w:bookmarkEnd w:id="166"/>
      <w:bookmarkEnd w:id="167"/>
      <w:r>
        <w:t xml:space="preserve"> </w:t>
      </w:r>
    </w:p>
    <w:p w:rsidR="00C9053E" w:rsidRPr="008540AE" w:rsidRDefault="00C9053E" w:rsidP="00C9053E">
      <w:pPr>
        <w:autoSpaceDE w:val="0"/>
        <w:autoSpaceDN w:val="0"/>
        <w:adjustRightInd w:val="0"/>
        <w:ind w:left="708"/>
        <w:jc w:val="left"/>
        <w:rPr>
          <w:rFonts w:cs="Verdana"/>
          <w:color w:val="000000"/>
          <w:szCs w:val="18"/>
        </w:rPr>
      </w:pPr>
      <w:bookmarkStart w:id="168" w:name="_Toc119597401"/>
      <w:r w:rsidRPr="00C9053E">
        <w:rPr>
          <w:i/>
          <w:u w:val="single"/>
        </w:rPr>
        <w:t xml:space="preserve">9.2.1 Accord-cadre </w:t>
      </w: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 xml:space="preserve">Les prix du Bordereau de Prix de l’accord-cadre sont révisables selon les conditions fixées ci-dessous. </w:t>
      </w:r>
    </w:p>
    <w:p w:rsidR="00C9053E" w:rsidRDefault="00C9053E" w:rsidP="00C9053E">
      <w:pPr>
        <w:autoSpaceDE w:val="0"/>
        <w:autoSpaceDN w:val="0"/>
        <w:adjustRightInd w:val="0"/>
        <w:rPr>
          <w:rFonts w:cs="Verdana"/>
          <w:color w:val="000000"/>
          <w:szCs w:val="18"/>
        </w:rPr>
      </w:pPr>
      <w:r w:rsidRPr="008540AE">
        <w:rPr>
          <w:rFonts w:cs="Verdana"/>
          <w:color w:val="000000"/>
          <w:szCs w:val="18"/>
        </w:rPr>
        <w:t xml:space="preserve">Les prix sont fermes pendant la première année d’exécution du marché. Les prix sont ensuite révisables la deuxième année d’exécution puis la troisième année et la quatrième année, à la condition que l’accord-cadre soit reconduit. </w:t>
      </w:r>
    </w:p>
    <w:p w:rsidR="00C9053E" w:rsidRPr="008540AE" w:rsidRDefault="00C9053E" w:rsidP="00C9053E">
      <w:pPr>
        <w:autoSpaceDE w:val="0"/>
        <w:autoSpaceDN w:val="0"/>
        <w:adjustRightInd w:val="0"/>
        <w:rPr>
          <w:rFonts w:cs="Verdana"/>
          <w:color w:val="000000"/>
          <w:szCs w:val="18"/>
        </w:rPr>
      </w:pPr>
    </w:p>
    <w:p w:rsidR="00C9053E" w:rsidRDefault="00C9053E" w:rsidP="00C9053E">
      <w:pPr>
        <w:autoSpaceDE w:val="0"/>
        <w:autoSpaceDN w:val="0"/>
        <w:adjustRightInd w:val="0"/>
        <w:rPr>
          <w:rFonts w:cs="Verdana"/>
          <w:color w:val="000000"/>
          <w:szCs w:val="18"/>
        </w:rPr>
      </w:pPr>
      <w:r w:rsidRPr="008540AE">
        <w:rPr>
          <w:rFonts w:cs="Verdana"/>
          <w:color w:val="000000"/>
          <w:szCs w:val="18"/>
        </w:rPr>
        <w:t xml:space="preserve">La révision s’effectue </w:t>
      </w:r>
      <w:r w:rsidRPr="008540AE">
        <w:rPr>
          <w:rFonts w:cs="Verdana"/>
          <w:b/>
          <w:bCs/>
          <w:color w:val="000000"/>
          <w:szCs w:val="18"/>
        </w:rPr>
        <w:t>une fois par an</w:t>
      </w:r>
      <w:r w:rsidRPr="008540AE">
        <w:rPr>
          <w:rFonts w:cs="Verdana"/>
          <w:color w:val="000000"/>
          <w:szCs w:val="18"/>
        </w:rPr>
        <w:t xml:space="preserve">, à chaque </w:t>
      </w:r>
      <w:r w:rsidRPr="008540AE">
        <w:rPr>
          <w:rFonts w:cs="Verdana"/>
          <w:b/>
          <w:bCs/>
          <w:color w:val="000000"/>
          <w:szCs w:val="18"/>
        </w:rPr>
        <w:t xml:space="preserve">date anniversaire de notification </w:t>
      </w:r>
      <w:r w:rsidRPr="008540AE">
        <w:rPr>
          <w:rFonts w:cs="Verdana"/>
          <w:color w:val="000000"/>
          <w:szCs w:val="18"/>
        </w:rPr>
        <w:t xml:space="preserve">de l’accord–cadre, sous réserve d'un préavis d'un mois adressé à AMU, par lettre recommandée avec accusé de réception* accompagnée du nouveau bordereau de prix daté et signé, par application de la formule suivante : </w:t>
      </w:r>
    </w:p>
    <w:p w:rsidR="00C9053E" w:rsidRPr="008540AE" w:rsidRDefault="00C9053E" w:rsidP="00C9053E">
      <w:pPr>
        <w:autoSpaceDE w:val="0"/>
        <w:autoSpaceDN w:val="0"/>
        <w:adjustRightInd w:val="0"/>
        <w:rPr>
          <w:rFonts w:cs="Verdana"/>
          <w:color w:val="000000"/>
          <w:szCs w:val="18"/>
        </w:rPr>
      </w:pPr>
    </w:p>
    <w:p w:rsidR="00C9053E" w:rsidRDefault="00C9053E" w:rsidP="00C9053E">
      <w:pPr>
        <w:autoSpaceDE w:val="0"/>
        <w:autoSpaceDN w:val="0"/>
        <w:adjustRightInd w:val="0"/>
        <w:jc w:val="center"/>
        <w:rPr>
          <w:rFonts w:cs="Verdana"/>
          <w:b/>
          <w:bCs/>
          <w:color w:val="000000"/>
          <w:sz w:val="20"/>
          <w:szCs w:val="20"/>
        </w:rPr>
      </w:pPr>
      <w:r w:rsidRPr="008540AE">
        <w:rPr>
          <w:rFonts w:cs="Verdana"/>
          <w:b/>
          <w:bCs/>
          <w:color w:val="000000"/>
          <w:sz w:val="20"/>
          <w:szCs w:val="20"/>
        </w:rPr>
        <w:t>P=P</w:t>
      </w:r>
      <w:r w:rsidRPr="008540AE">
        <w:rPr>
          <w:rFonts w:cs="Verdana"/>
          <w:b/>
          <w:bCs/>
          <w:color w:val="000000"/>
          <w:sz w:val="13"/>
          <w:szCs w:val="13"/>
        </w:rPr>
        <w:t>0</w:t>
      </w:r>
      <w:r w:rsidRPr="008540AE">
        <w:rPr>
          <w:rFonts w:cs="Verdana"/>
          <w:b/>
          <w:bCs/>
          <w:color w:val="000000"/>
          <w:sz w:val="20"/>
          <w:szCs w:val="20"/>
        </w:rPr>
        <w:t>*(0.125+0.875 ING</w:t>
      </w:r>
      <w:r w:rsidRPr="008540AE">
        <w:rPr>
          <w:rFonts w:cs="Verdana"/>
          <w:b/>
          <w:bCs/>
          <w:color w:val="000000"/>
          <w:sz w:val="13"/>
          <w:szCs w:val="13"/>
        </w:rPr>
        <w:t>N</w:t>
      </w:r>
      <w:r w:rsidRPr="008540AE">
        <w:rPr>
          <w:rFonts w:cs="Verdana"/>
          <w:b/>
          <w:bCs/>
          <w:color w:val="000000"/>
          <w:sz w:val="20"/>
          <w:szCs w:val="20"/>
        </w:rPr>
        <w:t>/ING</w:t>
      </w:r>
      <w:r w:rsidRPr="008540AE">
        <w:rPr>
          <w:rFonts w:cs="Verdana"/>
          <w:b/>
          <w:bCs/>
          <w:color w:val="000000"/>
          <w:sz w:val="13"/>
          <w:szCs w:val="13"/>
        </w:rPr>
        <w:t>0</w:t>
      </w:r>
      <w:r w:rsidRPr="008540AE">
        <w:rPr>
          <w:rFonts w:cs="Verdana"/>
          <w:b/>
          <w:bCs/>
          <w:color w:val="000000"/>
          <w:sz w:val="20"/>
          <w:szCs w:val="20"/>
        </w:rPr>
        <w:t>)</w:t>
      </w:r>
    </w:p>
    <w:p w:rsidR="00C9053E" w:rsidRPr="008540AE" w:rsidRDefault="00C9053E" w:rsidP="00C9053E">
      <w:pPr>
        <w:autoSpaceDE w:val="0"/>
        <w:autoSpaceDN w:val="0"/>
        <w:adjustRightInd w:val="0"/>
        <w:rPr>
          <w:rFonts w:cs="Verdana"/>
          <w:color w:val="000000"/>
          <w:sz w:val="20"/>
          <w:szCs w:val="20"/>
        </w:rPr>
      </w:pP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La date initiale d’établissement du prix est la date de remise de l’offre (m</w:t>
      </w:r>
      <w:r w:rsidRPr="008540AE">
        <w:rPr>
          <w:rFonts w:cs="Verdana"/>
          <w:color w:val="000000"/>
          <w:sz w:val="12"/>
          <w:szCs w:val="12"/>
        </w:rPr>
        <w:t>0</w:t>
      </w:r>
      <w:r w:rsidRPr="008540AE">
        <w:rPr>
          <w:rFonts w:cs="Verdana"/>
          <w:color w:val="000000"/>
          <w:szCs w:val="18"/>
        </w:rPr>
        <w:t xml:space="preserve">), dans laquelle : </w:t>
      </w:r>
    </w:p>
    <w:p w:rsidR="00C9053E" w:rsidRPr="008540AE" w:rsidRDefault="00C9053E" w:rsidP="00C9053E">
      <w:pPr>
        <w:autoSpaceDE w:val="0"/>
        <w:autoSpaceDN w:val="0"/>
        <w:adjustRightInd w:val="0"/>
        <w:rPr>
          <w:rFonts w:cs="Verdana"/>
          <w:color w:val="000000"/>
          <w:szCs w:val="18"/>
        </w:rPr>
      </w:pPr>
      <w:r w:rsidRPr="008540AE">
        <w:rPr>
          <w:rFonts w:cs="Verdana"/>
          <w:b/>
          <w:bCs/>
          <w:color w:val="000000"/>
          <w:szCs w:val="18"/>
        </w:rPr>
        <w:t xml:space="preserve">P : prix révisé </w:t>
      </w:r>
    </w:p>
    <w:p w:rsidR="00C9053E" w:rsidRPr="008540AE" w:rsidRDefault="00C9053E" w:rsidP="00C9053E">
      <w:pPr>
        <w:autoSpaceDE w:val="0"/>
        <w:autoSpaceDN w:val="0"/>
        <w:adjustRightInd w:val="0"/>
        <w:rPr>
          <w:rFonts w:cs="Verdana"/>
          <w:color w:val="000000"/>
          <w:szCs w:val="18"/>
        </w:rPr>
      </w:pPr>
      <w:r w:rsidRPr="008540AE">
        <w:rPr>
          <w:rFonts w:cs="Verdana"/>
          <w:b/>
          <w:bCs/>
          <w:color w:val="000000"/>
          <w:szCs w:val="18"/>
        </w:rPr>
        <w:t xml:space="preserve">Po : </w:t>
      </w:r>
      <w:r w:rsidRPr="008540AE">
        <w:rPr>
          <w:rFonts w:cs="Verdana"/>
          <w:color w:val="000000"/>
          <w:szCs w:val="18"/>
        </w:rPr>
        <w:t>prix initial du mois m</w:t>
      </w:r>
      <w:r w:rsidRPr="008540AE">
        <w:rPr>
          <w:rFonts w:cs="Verdana"/>
          <w:color w:val="000000"/>
          <w:sz w:val="12"/>
          <w:szCs w:val="12"/>
        </w:rPr>
        <w:t xml:space="preserve">0, </w:t>
      </w:r>
      <w:r w:rsidRPr="008540AE">
        <w:rPr>
          <w:rFonts w:cs="Verdana"/>
          <w:color w:val="000000"/>
          <w:szCs w:val="18"/>
        </w:rPr>
        <w:t xml:space="preserve">établis sur la base des conditions économiques du mois de remise des offres </w:t>
      </w:r>
    </w:p>
    <w:p w:rsidR="00C9053E" w:rsidRPr="008540AE" w:rsidRDefault="00C9053E" w:rsidP="00C9053E">
      <w:pPr>
        <w:autoSpaceDE w:val="0"/>
        <w:autoSpaceDN w:val="0"/>
        <w:adjustRightInd w:val="0"/>
        <w:rPr>
          <w:rFonts w:cs="Verdana"/>
          <w:color w:val="000000"/>
          <w:szCs w:val="18"/>
        </w:rPr>
      </w:pPr>
      <w:r w:rsidRPr="008540AE">
        <w:rPr>
          <w:rFonts w:cs="Verdana"/>
          <w:b/>
          <w:bCs/>
          <w:color w:val="000000"/>
          <w:szCs w:val="18"/>
        </w:rPr>
        <w:t>ING</w:t>
      </w:r>
      <w:r w:rsidRPr="008540AE">
        <w:rPr>
          <w:rFonts w:cs="Verdana"/>
          <w:b/>
          <w:bCs/>
          <w:color w:val="000000"/>
          <w:sz w:val="12"/>
          <w:szCs w:val="12"/>
        </w:rPr>
        <w:t>N</w:t>
      </w:r>
      <w:r w:rsidRPr="008540AE">
        <w:rPr>
          <w:rFonts w:cs="Verdana"/>
          <w:color w:val="000000"/>
          <w:szCs w:val="18"/>
        </w:rPr>
        <w:t xml:space="preserve">: « indice de ING », connu à la date de révision. </w:t>
      </w:r>
    </w:p>
    <w:p w:rsidR="00C9053E" w:rsidRDefault="00C9053E" w:rsidP="00C9053E">
      <w:pPr>
        <w:autoSpaceDE w:val="0"/>
        <w:autoSpaceDN w:val="0"/>
        <w:adjustRightInd w:val="0"/>
        <w:rPr>
          <w:rFonts w:cs="Verdana"/>
          <w:color w:val="000000"/>
          <w:szCs w:val="18"/>
        </w:rPr>
      </w:pPr>
      <w:r w:rsidRPr="008540AE">
        <w:rPr>
          <w:rFonts w:cs="Verdana"/>
          <w:b/>
          <w:bCs/>
          <w:color w:val="000000"/>
          <w:szCs w:val="18"/>
        </w:rPr>
        <w:t>ING</w:t>
      </w:r>
      <w:r w:rsidRPr="008540AE">
        <w:rPr>
          <w:rFonts w:cs="Verdana"/>
          <w:b/>
          <w:bCs/>
          <w:color w:val="000000"/>
          <w:sz w:val="12"/>
          <w:szCs w:val="12"/>
        </w:rPr>
        <w:t>0</w:t>
      </w:r>
      <w:r w:rsidRPr="008540AE">
        <w:rPr>
          <w:rFonts w:cs="Verdana"/>
          <w:color w:val="000000"/>
          <w:szCs w:val="18"/>
        </w:rPr>
        <w:t xml:space="preserve">: « indice de ING», connu au mois de la remise des offres. </w:t>
      </w:r>
    </w:p>
    <w:p w:rsidR="00C9053E" w:rsidRPr="008540AE" w:rsidRDefault="00C9053E" w:rsidP="00C9053E">
      <w:pPr>
        <w:autoSpaceDE w:val="0"/>
        <w:autoSpaceDN w:val="0"/>
        <w:adjustRightInd w:val="0"/>
        <w:rPr>
          <w:rFonts w:cs="Verdana"/>
          <w:color w:val="000000"/>
          <w:szCs w:val="18"/>
        </w:rPr>
      </w:pP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 xml:space="preserve">Lorsque la valeur finale des indices n’est pas connue lors du mandatement, le pouvoir adjudicateur procède au règlement provisoire sur la base de la valeur du dernier coefficient publié de la révision. </w:t>
      </w: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 xml:space="preserve">La révision de prix se fait à la baisse comme à la hausse. </w:t>
      </w:r>
    </w:p>
    <w:p w:rsidR="00C9053E" w:rsidRPr="00DA780F" w:rsidRDefault="00C9053E" w:rsidP="00C9053E">
      <w:pPr>
        <w:autoSpaceDE w:val="0"/>
        <w:autoSpaceDN w:val="0"/>
        <w:adjustRightInd w:val="0"/>
        <w:rPr>
          <w:rFonts w:cs="Verdana"/>
          <w:color w:val="000000"/>
          <w:sz w:val="16"/>
          <w:szCs w:val="16"/>
        </w:rPr>
      </w:pPr>
      <w:r w:rsidRPr="00DA780F">
        <w:rPr>
          <w:rFonts w:cs="Verdana"/>
          <w:i/>
          <w:iCs/>
          <w:color w:val="000000"/>
          <w:sz w:val="16"/>
          <w:szCs w:val="16"/>
        </w:rPr>
        <w:t xml:space="preserve">En cas de modification ou de suppression de tout ou partie des indices, les nouveaux indices pris en compte seront modifiés conformément à l’article R2194-1 du Code de la Commande Publique. </w:t>
      </w: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 xml:space="preserve">Application de l’arrondi au millième supérieur </w:t>
      </w: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 xml:space="preserve">Les arrondis s’effectueront avec 3 décimales. </w:t>
      </w: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 xml:space="preserve">Lorsque la 4ième décimale est &gt; 5 la 3ième décimale est arrondie à l’unité suivante. </w:t>
      </w:r>
    </w:p>
    <w:p w:rsidR="00C9053E" w:rsidRDefault="00C9053E" w:rsidP="00C9053E">
      <w:pPr>
        <w:autoSpaceDE w:val="0"/>
        <w:autoSpaceDN w:val="0"/>
        <w:adjustRightInd w:val="0"/>
        <w:rPr>
          <w:rFonts w:cs="Verdana"/>
          <w:color w:val="000000"/>
          <w:szCs w:val="18"/>
        </w:rPr>
      </w:pPr>
      <w:r w:rsidRPr="008540AE">
        <w:rPr>
          <w:rFonts w:cs="Verdana"/>
          <w:color w:val="000000"/>
          <w:szCs w:val="18"/>
        </w:rPr>
        <w:t xml:space="preserve">Lorsque la 4ième décimale est &lt; 5 il sera gardé la 3ième décimale. </w:t>
      </w:r>
    </w:p>
    <w:p w:rsidR="00C9053E" w:rsidRPr="008540AE" w:rsidRDefault="00C9053E" w:rsidP="00C9053E">
      <w:pPr>
        <w:autoSpaceDE w:val="0"/>
        <w:autoSpaceDN w:val="0"/>
        <w:adjustRightInd w:val="0"/>
        <w:rPr>
          <w:rFonts w:cs="Verdana"/>
          <w:color w:val="000000"/>
          <w:szCs w:val="18"/>
        </w:rPr>
      </w:pPr>
    </w:p>
    <w:p w:rsidR="00C9053E" w:rsidRPr="008540AE" w:rsidRDefault="00C9053E" w:rsidP="00C9053E">
      <w:pPr>
        <w:autoSpaceDE w:val="0"/>
        <w:autoSpaceDN w:val="0"/>
        <w:adjustRightInd w:val="0"/>
        <w:rPr>
          <w:rFonts w:cs="Verdana"/>
          <w:color w:val="000000"/>
          <w:szCs w:val="18"/>
        </w:rPr>
      </w:pPr>
      <w:r w:rsidRPr="008540AE">
        <w:rPr>
          <w:rFonts w:cs="Verdana"/>
          <w:color w:val="000000"/>
          <w:szCs w:val="18"/>
        </w:rPr>
        <w:t xml:space="preserve">Au regard de cette formule, la révision sera effectivement appliquée </w:t>
      </w:r>
      <w:r w:rsidRPr="008540AE">
        <w:rPr>
          <w:rFonts w:cs="Verdana"/>
          <w:b/>
          <w:bCs/>
          <w:color w:val="000000"/>
          <w:szCs w:val="18"/>
        </w:rPr>
        <w:t xml:space="preserve">sur les prix plafonds </w:t>
      </w:r>
      <w:r w:rsidRPr="008540AE">
        <w:rPr>
          <w:rFonts w:cs="Verdana"/>
          <w:color w:val="000000"/>
          <w:szCs w:val="18"/>
        </w:rPr>
        <w:t xml:space="preserve">au cours de la période annuelle qui suit la date anniversaire de la notification de l’accord-cadre. </w:t>
      </w:r>
    </w:p>
    <w:p w:rsidR="00C9053E" w:rsidRDefault="00C9053E" w:rsidP="00C9053E">
      <w:pPr>
        <w:autoSpaceDE w:val="0"/>
        <w:autoSpaceDN w:val="0"/>
        <w:adjustRightInd w:val="0"/>
        <w:rPr>
          <w:rFonts w:cs="Verdana"/>
          <w:color w:val="000000"/>
          <w:szCs w:val="18"/>
        </w:rPr>
      </w:pPr>
      <w:r w:rsidRPr="008540AE">
        <w:rPr>
          <w:rFonts w:cs="Verdana"/>
          <w:color w:val="000000"/>
          <w:szCs w:val="18"/>
        </w:rPr>
        <w:t xml:space="preserve">AMU dispose alors d’un délai d’un mois à compter de la date probante de la réception des nouveaux tarifs pour faire connaitre ses observations sur ceux-ci ainsi que son acceptation. L’accord du pouvoir adjudicateur doit être exprès. </w:t>
      </w:r>
    </w:p>
    <w:p w:rsidR="00C9053E" w:rsidRDefault="00C9053E" w:rsidP="00C9053E">
      <w:pPr>
        <w:autoSpaceDE w:val="0"/>
        <w:autoSpaceDN w:val="0"/>
        <w:adjustRightInd w:val="0"/>
        <w:rPr>
          <w:rFonts w:cs="Verdana"/>
          <w:i/>
          <w:iCs/>
          <w:color w:val="000000"/>
          <w:sz w:val="16"/>
          <w:szCs w:val="16"/>
        </w:rPr>
      </w:pPr>
      <w:r w:rsidRPr="00C9053E">
        <w:rPr>
          <w:rFonts w:cs="Verdana"/>
          <w:i/>
          <w:iCs/>
          <w:color w:val="000000"/>
          <w:sz w:val="16"/>
          <w:szCs w:val="16"/>
        </w:rPr>
        <w:t xml:space="preserve">* Adresse d’envoi de la demande de révision : Université d’Aix Marseille, Direction de la Commande Publique, Pôle des Marches Publics58, Bd Charles Livon, 13007 Marseille </w:t>
      </w:r>
    </w:p>
    <w:p w:rsidR="00C9053E" w:rsidRPr="00C9053E" w:rsidRDefault="00C9053E" w:rsidP="00C9053E">
      <w:pPr>
        <w:autoSpaceDE w:val="0"/>
        <w:autoSpaceDN w:val="0"/>
        <w:adjustRightInd w:val="0"/>
        <w:rPr>
          <w:rFonts w:cs="Verdana"/>
          <w:color w:val="000000"/>
          <w:sz w:val="16"/>
          <w:szCs w:val="16"/>
        </w:rPr>
      </w:pPr>
    </w:p>
    <w:p w:rsidR="00C9053E" w:rsidRPr="00C9053E" w:rsidRDefault="00C9053E" w:rsidP="00C9053E">
      <w:pPr>
        <w:autoSpaceDE w:val="0"/>
        <w:autoSpaceDN w:val="0"/>
        <w:adjustRightInd w:val="0"/>
        <w:ind w:left="708"/>
        <w:rPr>
          <w:i/>
          <w:u w:val="single"/>
        </w:rPr>
      </w:pPr>
      <w:r w:rsidRPr="00C9053E">
        <w:rPr>
          <w:i/>
          <w:u w:val="single"/>
        </w:rPr>
        <w:t xml:space="preserve">9.2.2 Marchés Subséquents </w:t>
      </w:r>
    </w:p>
    <w:p w:rsidR="008A7CB4" w:rsidRDefault="00C9053E" w:rsidP="00C9053E">
      <w:pPr>
        <w:pStyle w:val="Txttitre2"/>
        <w:spacing w:before="0" w:line="240" w:lineRule="auto"/>
        <w:ind w:left="0"/>
        <w:rPr>
          <w:rFonts w:cs="Verdana"/>
          <w:color w:val="000000"/>
          <w:szCs w:val="18"/>
        </w:rPr>
      </w:pPr>
      <w:r w:rsidRPr="00C9053E">
        <w:rPr>
          <w:rFonts w:ascii="Verdana" w:hAnsi="Verdana" w:cs="Verdana"/>
          <w:color w:val="000000"/>
          <w:szCs w:val="18"/>
        </w:rPr>
        <w:t xml:space="preserve">Les prix sont </w:t>
      </w:r>
      <w:r w:rsidRPr="00C9053E">
        <w:rPr>
          <w:rFonts w:ascii="Verdana" w:hAnsi="Verdana" w:cs="Verdana"/>
          <w:b/>
          <w:color w:val="000000"/>
          <w:szCs w:val="18"/>
        </w:rPr>
        <w:t>fermes et non révisables</w:t>
      </w:r>
      <w:r w:rsidRPr="00C9053E">
        <w:rPr>
          <w:rFonts w:ascii="Verdana" w:hAnsi="Verdana" w:cs="Verdana"/>
          <w:color w:val="000000"/>
          <w:szCs w:val="18"/>
        </w:rPr>
        <w:t xml:space="preserve"> pour la durée des marchés subséquents.</w:t>
      </w:r>
    </w:p>
    <w:p w:rsidR="00C9053E" w:rsidRDefault="00C9053E" w:rsidP="00C9053E">
      <w:pPr>
        <w:pStyle w:val="Txttitre2"/>
        <w:spacing w:before="0" w:line="240" w:lineRule="auto"/>
        <w:ind w:left="0"/>
        <w:rPr>
          <w:rFonts w:ascii="Verdana" w:hAnsi="Verdana"/>
          <w:szCs w:val="18"/>
          <w:lang w:eastAsia="ar-SA"/>
        </w:rPr>
      </w:pPr>
    </w:p>
    <w:p w:rsidR="008A7CB4" w:rsidRPr="00004270" w:rsidRDefault="008A7CB4" w:rsidP="008A7CB4">
      <w:pPr>
        <w:ind w:firstLine="708"/>
        <w:rPr>
          <w:i/>
          <w:u w:val="single"/>
        </w:rPr>
      </w:pPr>
      <w:r w:rsidRPr="00004270">
        <w:rPr>
          <w:i/>
          <w:u w:val="single"/>
        </w:rPr>
        <w:t>9.2.</w:t>
      </w:r>
      <w:r w:rsidR="00C9053E">
        <w:rPr>
          <w:i/>
          <w:u w:val="single"/>
        </w:rPr>
        <w:t>3</w:t>
      </w:r>
      <w:r w:rsidRPr="00004270">
        <w:rPr>
          <w:i/>
          <w:u w:val="single"/>
        </w:rPr>
        <w:t xml:space="preserve"> Clause de réexamen</w:t>
      </w:r>
      <w:bookmarkEnd w:id="168"/>
      <w:r w:rsidRPr="00004270">
        <w:rPr>
          <w:i/>
          <w:u w:val="single"/>
        </w:rPr>
        <w:t xml:space="preserve"> </w:t>
      </w:r>
    </w:p>
    <w:p w:rsidR="008A7CB4" w:rsidRPr="002D4084" w:rsidRDefault="008A7CB4" w:rsidP="008A7CB4">
      <w:r w:rsidRPr="000622F2">
        <w:rPr>
          <w:rFonts w:eastAsia="Batang" w:cs="Verdana"/>
          <w:szCs w:val="18"/>
        </w:rPr>
        <w:t>Confo</w:t>
      </w:r>
      <w:r>
        <w:rPr>
          <w:rFonts w:cs="Verdana"/>
          <w:szCs w:val="18"/>
        </w:rPr>
        <w:t xml:space="preserve">rmément </w:t>
      </w:r>
      <w:r>
        <w:rPr>
          <w:rFonts w:eastAsia="Batang" w:cs="Verdana"/>
          <w:szCs w:val="18"/>
        </w:rPr>
        <w:t xml:space="preserve">à l’article R2194-1 du Code de la Commande </w:t>
      </w:r>
      <w:r w:rsidRPr="000622F2">
        <w:rPr>
          <w:rFonts w:cs="Verdana"/>
          <w:szCs w:val="18"/>
        </w:rPr>
        <w:t xml:space="preserve">Publique, les parties conviennent qu'il pourra y </w:t>
      </w:r>
      <w:r w:rsidRPr="002D4084">
        <w:rPr>
          <w:rFonts w:cs="Verdana"/>
          <w:szCs w:val="18"/>
        </w:rPr>
        <w:t>avoir réexamen des dispositions de l’accord-cadre et/ou de chaque marché subséquent et/ou des prix de chaque marché subséquent à la demande de l'une ou l'autre partie.</w:t>
      </w:r>
    </w:p>
    <w:p w:rsidR="008A7CB4" w:rsidRDefault="008A7CB4" w:rsidP="008A7CB4">
      <w:pPr>
        <w:rPr>
          <w:rFonts w:cs="Verdana"/>
          <w:szCs w:val="18"/>
        </w:rPr>
      </w:pPr>
      <w:r w:rsidRPr="002D4084">
        <w:rPr>
          <w:rFonts w:cs="Verdana"/>
          <w:szCs w:val="18"/>
        </w:rPr>
        <w:t xml:space="preserve">Et sous réserve que les modifications sollicitées ne résultent pas d'une faute du titulaire, les Parties devront se rencontrer dès que possible et au plus tard dans le mois à compter de la survenance de l’événement pour revoir, le cas échéant, les termes du présent </w:t>
      </w:r>
      <w:r w:rsidR="0033363A">
        <w:rPr>
          <w:rFonts w:cs="Verdana"/>
          <w:szCs w:val="18"/>
        </w:rPr>
        <w:t>accord-cadre</w:t>
      </w:r>
      <w:r w:rsidRPr="002D4084">
        <w:rPr>
          <w:rFonts w:cs="Verdana"/>
          <w:szCs w:val="18"/>
        </w:rPr>
        <w:t>.</w:t>
      </w:r>
    </w:p>
    <w:p w:rsidR="00F01B06" w:rsidRPr="00F01B06" w:rsidRDefault="00F01B06" w:rsidP="008A7CB4">
      <w:pPr>
        <w:rPr>
          <w:sz w:val="10"/>
          <w:szCs w:val="10"/>
        </w:rPr>
      </w:pPr>
    </w:p>
    <w:p w:rsidR="008A7CB4" w:rsidRPr="002D4084" w:rsidRDefault="008A7CB4" w:rsidP="00DA780F">
      <w:pPr>
        <w:spacing w:line="264" w:lineRule="auto"/>
      </w:pPr>
      <w:r w:rsidRPr="002D4084">
        <w:rPr>
          <w:rFonts w:cs="Verdana"/>
          <w:szCs w:val="18"/>
        </w:rPr>
        <w:t xml:space="preserve">Par dérogation à l’article 26 du CCAG-MOE, le marché peut faire l’objet d’un réexamen par les Parties dans les cas suivants : </w:t>
      </w:r>
    </w:p>
    <w:p w:rsidR="008A7CB4" w:rsidRDefault="008A7CB4" w:rsidP="008F2B6A">
      <w:pPr>
        <w:numPr>
          <w:ilvl w:val="0"/>
          <w:numId w:val="28"/>
        </w:numPr>
        <w:suppressAutoHyphens/>
        <w:spacing w:before="100" w:after="200" w:line="264" w:lineRule="auto"/>
        <w:contextualSpacing/>
        <w:rPr>
          <w:rFonts w:cs="Verdana"/>
          <w:szCs w:val="18"/>
        </w:rPr>
      </w:pPr>
      <w:r w:rsidRPr="002D4084">
        <w:rPr>
          <w:rFonts w:cs="Verdana"/>
          <w:szCs w:val="18"/>
        </w:rPr>
        <w:t>En cas de disparition ou modification d’un indice de la formule de révision de prix.</w:t>
      </w:r>
    </w:p>
    <w:p w:rsidR="0033363A" w:rsidRPr="002D4084" w:rsidRDefault="0033363A" w:rsidP="00C9053E">
      <w:pPr>
        <w:numPr>
          <w:ilvl w:val="0"/>
          <w:numId w:val="28"/>
        </w:numPr>
        <w:suppressAutoHyphens/>
        <w:contextualSpacing/>
        <w:rPr>
          <w:rFonts w:cs="Verdana"/>
          <w:szCs w:val="18"/>
        </w:rPr>
      </w:pPr>
      <w:r w:rsidRPr="0033363A">
        <w:rPr>
          <w:rFonts w:cs="Verdana"/>
          <w:szCs w:val="18"/>
        </w:rPr>
        <w:t>La modification de la fréquence d’application de la formule de révision.</w:t>
      </w:r>
    </w:p>
    <w:p w:rsidR="008A7CB4" w:rsidRPr="000622F2" w:rsidRDefault="008A7CB4" w:rsidP="00C9053E">
      <w:pPr>
        <w:numPr>
          <w:ilvl w:val="0"/>
          <w:numId w:val="28"/>
        </w:numPr>
        <w:suppressAutoHyphens/>
        <w:contextualSpacing/>
        <w:rPr>
          <w:rFonts w:cs="Verdana"/>
          <w:szCs w:val="18"/>
        </w:rPr>
      </w:pPr>
      <w:r w:rsidRPr="002D4084">
        <w:rPr>
          <w:rFonts w:cs="Verdana"/>
          <w:szCs w:val="18"/>
        </w:rPr>
        <w:t>En cas de nouvelles mesures inhérentes à une crise majeure impliquant</w:t>
      </w:r>
      <w:r w:rsidRPr="000622F2">
        <w:rPr>
          <w:rFonts w:cs="Verdana"/>
          <w:szCs w:val="18"/>
        </w:rPr>
        <w:t xml:space="preserve"> des difficultés d’exécution des prestations (techniques et financières) par le titulaire.</w:t>
      </w:r>
    </w:p>
    <w:p w:rsidR="008A7CB4" w:rsidRPr="007821AC" w:rsidRDefault="008A7CB4" w:rsidP="00C9053E">
      <w:pPr>
        <w:numPr>
          <w:ilvl w:val="0"/>
          <w:numId w:val="28"/>
        </w:numPr>
        <w:suppressAutoHyphens/>
        <w:contextualSpacing/>
        <w:rPr>
          <w:szCs w:val="18"/>
        </w:rPr>
      </w:pPr>
      <w:r w:rsidRPr="007821AC">
        <w:rPr>
          <w:rFonts w:cs="Verdana"/>
          <w:szCs w:val="18"/>
        </w:rPr>
        <w:t>Une modification de la législation et/ou de la réglementation ayant des conséquences sur l’exécution du marché.</w:t>
      </w:r>
    </w:p>
    <w:p w:rsidR="008A7CB4" w:rsidRPr="00C9053E" w:rsidRDefault="008A7CB4" w:rsidP="00C9053E">
      <w:pPr>
        <w:numPr>
          <w:ilvl w:val="0"/>
          <w:numId w:val="28"/>
        </w:numPr>
        <w:suppressAutoHyphens/>
        <w:contextualSpacing/>
        <w:rPr>
          <w:szCs w:val="18"/>
        </w:rPr>
      </w:pPr>
      <w:r w:rsidRPr="007821AC">
        <w:rPr>
          <w:rFonts w:cs="Verdana"/>
          <w:szCs w:val="18"/>
        </w:rPr>
        <w:t>Les autres hypothèses identifiées comme des clauses de réexamen dans le présent CCAP</w:t>
      </w:r>
      <w:r>
        <w:rPr>
          <w:rFonts w:cs="Verdana"/>
          <w:szCs w:val="18"/>
        </w:rPr>
        <w:t xml:space="preserve"> (notamment l’article 10.1.3)</w:t>
      </w:r>
      <w:r w:rsidRPr="007821AC">
        <w:rPr>
          <w:rFonts w:cs="Verdana"/>
          <w:szCs w:val="18"/>
        </w:rPr>
        <w:t>.</w:t>
      </w:r>
    </w:p>
    <w:p w:rsidR="00C9053E" w:rsidRPr="007821AC" w:rsidRDefault="00C9053E" w:rsidP="00C9053E">
      <w:pPr>
        <w:suppressAutoHyphens/>
        <w:ind w:left="720"/>
        <w:contextualSpacing/>
        <w:rPr>
          <w:szCs w:val="18"/>
        </w:rPr>
      </w:pPr>
    </w:p>
    <w:p w:rsidR="00265B2D" w:rsidRDefault="008A7CB4" w:rsidP="00C9053E">
      <w:pPr>
        <w:rPr>
          <w:rFonts w:cs="Verdana"/>
          <w:szCs w:val="18"/>
        </w:rPr>
      </w:pPr>
      <w:r w:rsidRPr="000622F2">
        <w:rPr>
          <w:rFonts w:cs="Verdana"/>
          <w:szCs w:val="18"/>
        </w:rPr>
        <w:t>Les Parties se concertent pour procéder au réexamen et, le cas échéant, trouver un accord, sur les éventuelles modifications à apporter au marché. La modification du marché donne alors lieu à un accord de volonté matérialisé par un avenant.</w:t>
      </w:r>
    </w:p>
    <w:p w:rsidR="00265B2D" w:rsidRDefault="00265B2D" w:rsidP="00265B2D">
      <w:pPr>
        <w:rPr>
          <w:rFonts w:cs="Verdana"/>
          <w:szCs w:val="18"/>
        </w:rPr>
      </w:pPr>
    </w:p>
    <w:p w:rsidR="008A7CB4" w:rsidRPr="003F015F" w:rsidRDefault="008A7CB4" w:rsidP="00265B2D">
      <w:pPr>
        <w:spacing w:after="120"/>
        <w:rPr>
          <w:rFonts w:cs="Verdana"/>
          <w:szCs w:val="18"/>
        </w:rPr>
      </w:pPr>
      <w:r w:rsidRPr="000622F2">
        <w:rPr>
          <w:rFonts w:cs="Verdana"/>
          <w:szCs w:val="18"/>
        </w:rPr>
        <w:t>Dans le cas où un accord ne saurait être trouvé entre les parties, le marché pourra être résilié pour motif d’intérêt général.</w:t>
      </w:r>
    </w:p>
    <w:p w:rsidR="008A7CB4" w:rsidRDefault="008A7CB4" w:rsidP="00785367"/>
    <w:p w:rsidR="006D024B" w:rsidRDefault="00EF7E3E" w:rsidP="006A3768">
      <w:pPr>
        <w:pStyle w:val="TITRE100"/>
      </w:pPr>
      <w:bookmarkStart w:id="169" w:name="_Toc148692618"/>
      <w:r>
        <w:t>ARTICLE 10 – MODALITES DE REMUNERATION ET REGLEMENT</w:t>
      </w:r>
      <w:bookmarkEnd w:id="125"/>
      <w:bookmarkEnd w:id="126"/>
      <w:bookmarkEnd w:id="169"/>
    </w:p>
    <w:p w:rsidR="00E67444" w:rsidRPr="00E67444" w:rsidRDefault="00E67444" w:rsidP="00E67444">
      <w:pPr>
        <w:rPr>
          <w:sz w:val="16"/>
          <w:szCs w:val="16"/>
        </w:rPr>
      </w:pPr>
    </w:p>
    <w:p w:rsidR="00084D15" w:rsidRPr="00986FE8" w:rsidRDefault="00084D15" w:rsidP="00084D15">
      <w:pPr>
        <w:rPr>
          <w:rFonts w:cs="Arial"/>
          <w:bCs/>
          <w:szCs w:val="18"/>
        </w:rPr>
      </w:pPr>
      <w:bookmarkStart w:id="170" w:name="_Toc465261437"/>
      <w:r w:rsidRPr="00986FE8">
        <w:rPr>
          <w:rFonts w:cs="Arial"/>
          <w:bCs/>
          <w:szCs w:val="18"/>
        </w:rPr>
        <w:lastRenderedPageBreak/>
        <w:t xml:space="preserve">L’offre de prix : </w:t>
      </w:r>
    </w:p>
    <w:p w:rsidR="00084D15" w:rsidRPr="00166288" w:rsidRDefault="00084D15" w:rsidP="00E926EB">
      <w:pPr>
        <w:numPr>
          <w:ilvl w:val="0"/>
          <w:numId w:val="12"/>
        </w:numPr>
        <w:tabs>
          <w:tab w:val="clear" w:pos="360"/>
          <w:tab w:val="num" w:pos="567"/>
        </w:tabs>
        <w:ind w:left="567"/>
        <w:rPr>
          <w:rFonts w:cs="Arial"/>
          <w:b/>
          <w:szCs w:val="18"/>
        </w:rPr>
      </w:pPr>
      <w:r w:rsidRPr="00166288">
        <w:rPr>
          <w:rFonts w:cs="Arial"/>
          <w:szCs w:val="18"/>
        </w:rPr>
        <w:t xml:space="preserve">est réputée établie sur la base des conditions économiques en vigueur </w:t>
      </w:r>
      <w:r w:rsidRPr="00166288">
        <w:rPr>
          <w:rFonts w:cs="Arial"/>
          <w:b/>
          <w:szCs w:val="18"/>
        </w:rPr>
        <w:t xml:space="preserve">au mois de </w:t>
      </w:r>
      <w:r w:rsidR="00166288" w:rsidRPr="00166288">
        <w:rPr>
          <w:rFonts w:cs="Arial"/>
          <w:b/>
          <w:szCs w:val="18"/>
        </w:rPr>
        <w:t>la remise des offres</w:t>
      </w:r>
      <w:r w:rsidRPr="00166288">
        <w:rPr>
          <w:rFonts w:cs="Arial"/>
          <w:b/>
          <w:szCs w:val="18"/>
        </w:rPr>
        <w:t>, défini comme le mois M</w:t>
      </w:r>
      <w:r w:rsidRPr="00166288">
        <w:rPr>
          <w:rFonts w:cs="Arial"/>
          <w:b/>
          <w:szCs w:val="18"/>
          <w:vertAlign w:val="subscript"/>
        </w:rPr>
        <w:t>0</w:t>
      </w:r>
      <w:r w:rsidRPr="00166288">
        <w:rPr>
          <w:rFonts w:cs="Arial"/>
          <w:szCs w:val="18"/>
          <w:vertAlign w:val="subscript"/>
        </w:rPr>
        <w:t xml:space="preserve"> </w:t>
      </w:r>
      <w:r w:rsidRPr="00166288">
        <w:rPr>
          <w:rFonts w:cs="Arial"/>
          <w:szCs w:val="18"/>
        </w:rPr>
        <w:t>.</w:t>
      </w:r>
    </w:p>
    <w:p w:rsidR="00084D15" w:rsidRPr="00166288" w:rsidRDefault="00084D15" w:rsidP="00E926EB">
      <w:pPr>
        <w:pStyle w:val="Corpsdetexte2"/>
        <w:numPr>
          <w:ilvl w:val="0"/>
          <w:numId w:val="12"/>
        </w:numPr>
        <w:tabs>
          <w:tab w:val="clear" w:pos="360"/>
          <w:tab w:val="num" w:pos="567"/>
        </w:tabs>
        <w:ind w:left="567"/>
        <w:rPr>
          <w:rFonts w:cs="Arial"/>
          <w:sz w:val="18"/>
          <w:szCs w:val="18"/>
        </w:rPr>
      </w:pPr>
      <w:r w:rsidRPr="00166288">
        <w:rPr>
          <w:rFonts w:cs="Arial"/>
          <w:sz w:val="18"/>
          <w:szCs w:val="18"/>
        </w:rPr>
        <w:t>se verra appliquer des modalités de variation des prix qui sont fixées ci-après.</w:t>
      </w:r>
    </w:p>
    <w:p w:rsidR="00084D15" w:rsidRPr="00166288" w:rsidRDefault="00084D15" w:rsidP="00E926EB">
      <w:pPr>
        <w:pStyle w:val="Corpsdetexte2"/>
        <w:numPr>
          <w:ilvl w:val="0"/>
          <w:numId w:val="12"/>
        </w:numPr>
        <w:tabs>
          <w:tab w:val="clear" w:pos="360"/>
          <w:tab w:val="num" w:pos="567"/>
        </w:tabs>
        <w:ind w:left="567"/>
        <w:rPr>
          <w:rFonts w:cs="Arial"/>
          <w:sz w:val="18"/>
          <w:szCs w:val="18"/>
        </w:rPr>
      </w:pPr>
      <w:r w:rsidRPr="00166288">
        <w:rPr>
          <w:rFonts w:cs="Arial"/>
          <w:sz w:val="18"/>
          <w:szCs w:val="18"/>
        </w:rPr>
        <w:t>résulte de l’appréciation par le maître d’œuvre de la complexité de l’opération.</w:t>
      </w:r>
    </w:p>
    <w:p w:rsidR="00084D15" w:rsidRPr="00986FE8" w:rsidRDefault="00084D15" w:rsidP="00084D15">
      <w:pPr>
        <w:rPr>
          <w:rFonts w:cs="Arial"/>
          <w:szCs w:val="18"/>
        </w:rPr>
      </w:pPr>
      <w:r w:rsidRPr="00986FE8">
        <w:rPr>
          <w:rFonts w:cs="Arial"/>
          <w:szCs w:val="18"/>
        </w:rPr>
        <w:tab/>
      </w:r>
    </w:p>
    <w:p w:rsidR="00084D15" w:rsidRPr="00986FE8" w:rsidRDefault="00084D15" w:rsidP="00084D15">
      <w:pPr>
        <w:pStyle w:val="Corpsdetexte2"/>
        <w:rPr>
          <w:rFonts w:cs="Arial"/>
          <w:sz w:val="18"/>
          <w:szCs w:val="18"/>
        </w:rPr>
      </w:pPr>
      <w:r w:rsidRPr="00986FE8">
        <w:rPr>
          <w:rFonts w:cs="Arial"/>
          <w:sz w:val="18"/>
          <w:szCs w:val="18"/>
        </w:rPr>
        <w:t>Les travaux seront rémunérés par application d'un prix global</w:t>
      </w:r>
      <w:r w:rsidR="00975BC1">
        <w:rPr>
          <w:rFonts w:cs="Arial"/>
          <w:sz w:val="18"/>
          <w:szCs w:val="18"/>
        </w:rPr>
        <w:t xml:space="preserve"> et</w:t>
      </w:r>
      <w:r w:rsidRPr="00986FE8">
        <w:rPr>
          <w:rFonts w:cs="Arial"/>
          <w:sz w:val="18"/>
          <w:szCs w:val="18"/>
        </w:rPr>
        <w:t xml:space="preserve"> forfaitaire. </w:t>
      </w:r>
    </w:p>
    <w:p w:rsidR="00084D15" w:rsidRPr="00E926EB" w:rsidRDefault="00084D15" w:rsidP="00084D15">
      <w:pPr>
        <w:pStyle w:val="Corpsdetexte2"/>
        <w:jc w:val="left"/>
        <w:rPr>
          <w:rFonts w:cs="Arial"/>
          <w:sz w:val="10"/>
          <w:szCs w:val="10"/>
        </w:rPr>
      </w:pPr>
    </w:p>
    <w:p w:rsidR="00084D15" w:rsidRPr="00BC49D6" w:rsidRDefault="00084D15" w:rsidP="00084D15">
      <w:pPr>
        <w:pStyle w:val="Corpsdetexte2"/>
        <w:rPr>
          <w:rFonts w:cs="Arial"/>
          <w:sz w:val="18"/>
          <w:szCs w:val="18"/>
        </w:rPr>
      </w:pPr>
      <w:r w:rsidRPr="00BC49D6">
        <w:rPr>
          <w:rFonts w:cs="Arial"/>
          <w:sz w:val="18"/>
          <w:szCs w:val="18"/>
        </w:rPr>
        <w:t xml:space="preserve">L’enveloppe financière prévisionnelle </w:t>
      </w:r>
      <w:r w:rsidR="00B04DE8" w:rsidRPr="00BC49D6">
        <w:rPr>
          <w:rFonts w:cs="Arial"/>
          <w:sz w:val="18"/>
          <w:szCs w:val="18"/>
        </w:rPr>
        <w:t xml:space="preserve">totale de l’opération PARAMED </w:t>
      </w:r>
      <w:r w:rsidRPr="00BC49D6">
        <w:rPr>
          <w:rFonts w:cs="Arial"/>
          <w:sz w:val="18"/>
          <w:szCs w:val="18"/>
        </w:rPr>
        <w:t>affectée aux travaux est de</w:t>
      </w:r>
      <w:r w:rsidR="00ED152C" w:rsidRPr="00BC49D6">
        <w:t xml:space="preserve"> </w:t>
      </w:r>
      <w:r w:rsidR="00207CF7">
        <w:rPr>
          <w:sz w:val="18"/>
          <w:szCs w:val="18"/>
        </w:rPr>
        <w:t xml:space="preserve">30 900 000,00 </w:t>
      </w:r>
      <w:r w:rsidRPr="00BC49D6">
        <w:rPr>
          <w:rFonts w:cs="Arial"/>
          <w:b/>
          <w:sz w:val="18"/>
          <w:szCs w:val="18"/>
        </w:rPr>
        <w:t xml:space="preserve">€ HT </w:t>
      </w:r>
      <w:r w:rsidRPr="00BC49D6">
        <w:rPr>
          <w:rFonts w:cs="Arial"/>
          <w:sz w:val="18"/>
          <w:szCs w:val="18"/>
        </w:rPr>
        <w:t xml:space="preserve">(valeur du mois </w:t>
      </w:r>
      <w:r w:rsidRPr="00BC49D6">
        <w:rPr>
          <w:rFonts w:cs="Arial"/>
          <w:b/>
          <w:sz w:val="18"/>
          <w:szCs w:val="18"/>
        </w:rPr>
        <w:t>M</w:t>
      </w:r>
      <w:r w:rsidRPr="00BC49D6">
        <w:rPr>
          <w:rFonts w:cs="Arial"/>
          <w:b/>
          <w:sz w:val="18"/>
          <w:szCs w:val="18"/>
          <w:vertAlign w:val="subscript"/>
        </w:rPr>
        <w:t>0</w:t>
      </w:r>
      <w:r w:rsidRPr="00BC49D6">
        <w:rPr>
          <w:rFonts w:cs="Arial"/>
          <w:sz w:val="18"/>
          <w:szCs w:val="18"/>
        </w:rPr>
        <w:t xml:space="preserve">). </w:t>
      </w:r>
      <w:r w:rsidR="00DE3215" w:rsidRPr="00BC49D6">
        <w:rPr>
          <w:rFonts w:cs="Arial"/>
          <w:sz w:val="18"/>
          <w:szCs w:val="18"/>
        </w:rPr>
        <w:t>Elle</w:t>
      </w:r>
      <w:r w:rsidR="00CF3111" w:rsidRPr="00BC49D6">
        <w:rPr>
          <w:rFonts w:cs="Arial"/>
          <w:sz w:val="18"/>
          <w:szCs w:val="18"/>
        </w:rPr>
        <w:t xml:space="preserve"> se réparti</w:t>
      </w:r>
      <w:r w:rsidR="00DE3215" w:rsidRPr="00BC49D6">
        <w:rPr>
          <w:rFonts w:cs="Arial"/>
          <w:sz w:val="18"/>
          <w:szCs w:val="18"/>
        </w:rPr>
        <w:t>e</w:t>
      </w:r>
      <w:r w:rsidR="00CF3111" w:rsidRPr="00BC49D6">
        <w:rPr>
          <w:rFonts w:cs="Arial"/>
          <w:sz w:val="18"/>
          <w:szCs w:val="18"/>
        </w:rPr>
        <w:t xml:space="preserve"> de la façon suivante :</w:t>
      </w:r>
    </w:p>
    <w:p w:rsidR="00CF3111" w:rsidRPr="00BC49D6" w:rsidRDefault="00207CF7" w:rsidP="008F2B6A">
      <w:pPr>
        <w:pStyle w:val="Corpsdetexte2"/>
        <w:numPr>
          <w:ilvl w:val="0"/>
          <w:numId w:val="13"/>
        </w:numPr>
        <w:rPr>
          <w:rFonts w:cs="Arial"/>
          <w:sz w:val="18"/>
          <w:szCs w:val="18"/>
        </w:rPr>
      </w:pPr>
      <w:r>
        <w:rPr>
          <w:rFonts w:cs="Arial"/>
          <w:sz w:val="18"/>
          <w:szCs w:val="18"/>
        </w:rPr>
        <w:t>20 000 000</w:t>
      </w:r>
      <w:r w:rsidR="00CF3111" w:rsidRPr="00BC49D6">
        <w:rPr>
          <w:rFonts w:cs="Arial"/>
          <w:sz w:val="18"/>
          <w:szCs w:val="18"/>
        </w:rPr>
        <w:t xml:space="preserve"> € HT pour l</w:t>
      </w:r>
      <w:r w:rsidR="00ED152C" w:rsidRPr="00BC49D6">
        <w:rPr>
          <w:rFonts w:cs="Arial"/>
          <w:sz w:val="18"/>
          <w:szCs w:val="18"/>
        </w:rPr>
        <w:t>e MS1 correspondant à la phase 1</w:t>
      </w:r>
    </w:p>
    <w:p w:rsidR="00ED152C" w:rsidRPr="00BC49D6" w:rsidRDefault="00207CF7" w:rsidP="008F2B6A">
      <w:pPr>
        <w:pStyle w:val="Corpsdetexte2"/>
        <w:numPr>
          <w:ilvl w:val="0"/>
          <w:numId w:val="13"/>
        </w:numPr>
        <w:rPr>
          <w:rFonts w:cs="Arial"/>
          <w:sz w:val="18"/>
          <w:szCs w:val="18"/>
        </w:rPr>
      </w:pPr>
      <w:r>
        <w:rPr>
          <w:rFonts w:cs="Arial"/>
          <w:sz w:val="18"/>
          <w:szCs w:val="18"/>
        </w:rPr>
        <w:t>8 000 000</w:t>
      </w:r>
      <w:r w:rsidR="00CF3111" w:rsidRPr="00BC49D6">
        <w:rPr>
          <w:rFonts w:cs="Arial"/>
          <w:sz w:val="18"/>
          <w:szCs w:val="18"/>
        </w:rPr>
        <w:t xml:space="preserve"> € HT </w:t>
      </w:r>
      <w:r w:rsidR="00ED152C" w:rsidRPr="00BC49D6">
        <w:rPr>
          <w:rFonts w:cs="Arial"/>
          <w:sz w:val="18"/>
          <w:szCs w:val="18"/>
        </w:rPr>
        <w:t>pour le MS2 correspondant à la phase 2</w:t>
      </w:r>
    </w:p>
    <w:p w:rsidR="00ED152C" w:rsidRPr="00BC49D6" w:rsidRDefault="00ED152C" w:rsidP="008F2B6A">
      <w:pPr>
        <w:pStyle w:val="Corpsdetexte2"/>
        <w:numPr>
          <w:ilvl w:val="0"/>
          <w:numId w:val="13"/>
        </w:numPr>
        <w:rPr>
          <w:rFonts w:cs="Arial"/>
          <w:sz w:val="18"/>
          <w:szCs w:val="18"/>
        </w:rPr>
      </w:pPr>
      <w:r w:rsidRPr="00BC49D6">
        <w:rPr>
          <w:rFonts w:cs="Arial"/>
          <w:sz w:val="18"/>
          <w:szCs w:val="18"/>
        </w:rPr>
        <w:t>2</w:t>
      </w:r>
      <w:r w:rsidR="00207CF7">
        <w:rPr>
          <w:rFonts w:cs="Arial"/>
          <w:sz w:val="18"/>
          <w:szCs w:val="18"/>
        </w:rPr>
        <w:t> 900 000</w:t>
      </w:r>
      <w:r w:rsidR="00E941F8" w:rsidRPr="00BC49D6">
        <w:rPr>
          <w:rFonts w:cs="Arial"/>
          <w:sz w:val="18"/>
          <w:szCs w:val="18"/>
        </w:rPr>
        <w:t xml:space="preserve"> € HT </w:t>
      </w:r>
      <w:r w:rsidRPr="00BC49D6">
        <w:rPr>
          <w:rFonts w:cs="Arial"/>
          <w:sz w:val="18"/>
          <w:szCs w:val="18"/>
        </w:rPr>
        <w:t xml:space="preserve">pour le MS3 correspondant à la phase </w:t>
      </w:r>
      <w:r w:rsidR="00551909" w:rsidRPr="00BC49D6">
        <w:rPr>
          <w:rFonts w:cs="Arial"/>
          <w:sz w:val="18"/>
          <w:szCs w:val="18"/>
        </w:rPr>
        <w:t>3</w:t>
      </w:r>
    </w:p>
    <w:p w:rsidR="000C5C84" w:rsidRPr="00BC49D6" w:rsidRDefault="000C5C84" w:rsidP="00ED152C">
      <w:pPr>
        <w:pStyle w:val="Corpsdetexte2"/>
        <w:rPr>
          <w:rFonts w:cs="Arial"/>
          <w:sz w:val="18"/>
          <w:szCs w:val="18"/>
        </w:rPr>
      </w:pPr>
      <w:r w:rsidRPr="00BC49D6">
        <w:rPr>
          <w:rFonts w:cs="Arial"/>
          <w:sz w:val="18"/>
          <w:szCs w:val="18"/>
        </w:rPr>
        <w:t>Dans le cadre du concours, l</w:t>
      </w:r>
      <w:r w:rsidR="00084D15" w:rsidRPr="00BC49D6">
        <w:rPr>
          <w:rFonts w:cs="Arial"/>
          <w:sz w:val="18"/>
          <w:szCs w:val="18"/>
        </w:rPr>
        <w:t xml:space="preserve">e coût prévisionnel des travaux sera établi par le maître d’œuvre </w:t>
      </w:r>
      <w:r w:rsidR="00DE3215" w:rsidRPr="00BC49D6">
        <w:rPr>
          <w:rFonts w:cs="Arial"/>
          <w:sz w:val="18"/>
          <w:szCs w:val="18"/>
        </w:rPr>
        <w:t xml:space="preserve">sur la base de l’enveloppe prévisionnelle </w:t>
      </w:r>
      <w:r w:rsidR="00B04DE8" w:rsidRPr="00BC49D6">
        <w:rPr>
          <w:rFonts w:cs="Arial"/>
          <w:sz w:val="18"/>
          <w:szCs w:val="18"/>
        </w:rPr>
        <w:t>totale</w:t>
      </w:r>
      <w:r w:rsidR="00DE3215" w:rsidRPr="00BC49D6">
        <w:rPr>
          <w:rFonts w:cs="Arial"/>
          <w:sz w:val="18"/>
          <w:szCs w:val="18"/>
        </w:rPr>
        <w:t>.</w:t>
      </w:r>
      <w:r w:rsidRPr="00BC49D6">
        <w:rPr>
          <w:rFonts w:cs="Arial"/>
          <w:sz w:val="18"/>
          <w:szCs w:val="18"/>
        </w:rPr>
        <w:t xml:space="preserve"> </w:t>
      </w:r>
    </w:p>
    <w:p w:rsidR="000C5C84" w:rsidRPr="00BC49D6" w:rsidRDefault="000C5C84" w:rsidP="00ED152C">
      <w:pPr>
        <w:pStyle w:val="Corpsdetexte2"/>
        <w:rPr>
          <w:rFonts w:cs="Arial"/>
          <w:sz w:val="18"/>
          <w:szCs w:val="18"/>
        </w:rPr>
      </w:pPr>
      <w:r w:rsidRPr="00BC49D6">
        <w:rPr>
          <w:rFonts w:cs="Arial"/>
          <w:sz w:val="18"/>
          <w:szCs w:val="18"/>
        </w:rPr>
        <w:t>Pour le MS1, l’enveloppe travaux sera établie sur la base de l’estimation de la phase 1.</w:t>
      </w:r>
    </w:p>
    <w:p w:rsidR="00084D15" w:rsidRDefault="000C5C84" w:rsidP="00ED152C">
      <w:pPr>
        <w:pStyle w:val="Corpsdetexte2"/>
        <w:rPr>
          <w:rFonts w:cs="Arial"/>
          <w:sz w:val="18"/>
          <w:szCs w:val="18"/>
        </w:rPr>
      </w:pPr>
      <w:r w:rsidRPr="00BC49D6">
        <w:rPr>
          <w:rFonts w:cs="Arial"/>
          <w:sz w:val="18"/>
          <w:szCs w:val="18"/>
        </w:rPr>
        <w:t>Pour les MS 2, 3 et autres MS potentiels, les enveloppes sont susceptibles d’évoluer</w:t>
      </w:r>
      <w:r w:rsidR="00B04DE8" w:rsidRPr="00BC49D6">
        <w:rPr>
          <w:rFonts w:cs="Arial"/>
          <w:sz w:val="18"/>
          <w:szCs w:val="18"/>
        </w:rPr>
        <w:t xml:space="preserve"> et de dépasser le montant total.</w:t>
      </w:r>
    </w:p>
    <w:p w:rsidR="00EF7E3E" w:rsidRPr="00A00037" w:rsidRDefault="00EF7E3E" w:rsidP="00EF7E3E">
      <w:pPr>
        <w:pStyle w:val="Titre2"/>
        <w:rPr>
          <w:rFonts w:cs="Verdana"/>
        </w:rPr>
      </w:pPr>
      <w:bookmarkStart w:id="171" w:name="_Toc148692619"/>
      <w:bookmarkStart w:id="172" w:name="_Toc119597403"/>
      <w:bookmarkStart w:id="173" w:name="_Toc133586037"/>
      <w:bookmarkStart w:id="174" w:name="_Toc133586533"/>
      <w:bookmarkStart w:id="175" w:name="_Toc133586612"/>
      <w:bookmarkStart w:id="176" w:name="_Toc133586778"/>
      <w:r w:rsidRPr="00A00037">
        <w:t>10.1 Forfait de rémunération</w:t>
      </w:r>
      <w:bookmarkEnd w:id="171"/>
      <w:r w:rsidRPr="00A00037">
        <w:t xml:space="preserve"> </w:t>
      </w:r>
      <w:bookmarkEnd w:id="172"/>
    </w:p>
    <w:p w:rsidR="00EF7E3E" w:rsidRPr="00004270" w:rsidRDefault="00EF7E3E" w:rsidP="00EF7E3E">
      <w:pPr>
        <w:ind w:firstLine="708"/>
        <w:rPr>
          <w:i/>
          <w:u w:val="single"/>
        </w:rPr>
      </w:pPr>
      <w:bookmarkStart w:id="177" w:name="_Toc119597404"/>
      <w:r w:rsidRPr="00004270">
        <w:rPr>
          <w:i/>
          <w:u w:val="single"/>
        </w:rPr>
        <w:t>10.1.1 Forfait de rémunération provisoire</w:t>
      </w:r>
      <w:bookmarkEnd w:id="177"/>
    </w:p>
    <w:p w:rsidR="00EF7E3E" w:rsidRPr="00616762" w:rsidRDefault="00EF7E3E" w:rsidP="00EF7E3E">
      <w:pPr>
        <w:rPr>
          <w:rFonts w:cs="Arial Narrow"/>
          <w:szCs w:val="18"/>
        </w:rPr>
      </w:pPr>
      <w:r>
        <w:rPr>
          <w:rFonts w:cs="Verdana"/>
          <w:b/>
          <w:szCs w:val="18"/>
        </w:rPr>
        <w:t>Pour chaque marché subséquent, l</w:t>
      </w:r>
      <w:r w:rsidRPr="0067117C">
        <w:rPr>
          <w:rFonts w:cs="Verdana"/>
          <w:b/>
          <w:szCs w:val="18"/>
        </w:rPr>
        <w:t>e forfait de rémunération provisoire du titulaire</w:t>
      </w:r>
      <w:r w:rsidRPr="0067117C">
        <w:rPr>
          <w:rFonts w:cs="Verdana"/>
          <w:szCs w:val="18"/>
        </w:rPr>
        <w:t xml:space="preserve"> </w:t>
      </w:r>
      <w:r>
        <w:rPr>
          <w:rFonts w:cs="Verdana"/>
          <w:szCs w:val="18"/>
        </w:rPr>
        <w:t>est</w:t>
      </w:r>
      <w:r w:rsidRPr="0067117C">
        <w:rPr>
          <w:rFonts w:cs="Verdana"/>
          <w:szCs w:val="18"/>
        </w:rPr>
        <w:t xml:space="preserve"> </w:t>
      </w:r>
      <w:r>
        <w:rPr>
          <w:rFonts w:cs="Verdana"/>
          <w:szCs w:val="18"/>
        </w:rPr>
        <w:t xml:space="preserve">celui </w:t>
      </w:r>
      <w:r>
        <w:rPr>
          <w:rFonts w:cs="Arial Narrow"/>
          <w:szCs w:val="18"/>
        </w:rPr>
        <w:t xml:space="preserve">indiqué </w:t>
      </w:r>
      <w:r w:rsidRPr="00616762">
        <w:rPr>
          <w:rFonts w:cs="Arial Narrow"/>
          <w:szCs w:val="18"/>
        </w:rPr>
        <w:t xml:space="preserve">dans l’annexe financière du CCP valant AE. </w:t>
      </w:r>
    </w:p>
    <w:p w:rsidR="00EF7E3E" w:rsidRPr="00E926EB" w:rsidRDefault="00EF7E3E" w:rsidP="00EF7E3E">
      <w:pPr>
        <w:rPr>
          <w:rFonts w:cs="Verdana"/>
          <w:sz w:val="10"/>
          <w:szCs w:val="10"/>
        </w:rPr>
      </w:pPr>
    </w:p>
    <w:p w:rsidR="00EF7E3E" w:rsidRDefault="00EF7E3E" w:rsidP="00EF7E3E">
      <w:pPr>
        <w:autoSpaceDE w:val="0"/>
        <w:autoSpaceDN w:val="0"/>
        <w:adjustRightInd w:val="0"/>
        <w:rPr>
          <w:rFonts w:cs="Arial Narrow"/>
          <w:szCs w:val="18"/>
        </w:rPr>
      </w:pPr>
      <w:r w:rsidRPr="00E11D5E">
        <w:rPr>
          <w:rFonts w:cs="Arial Narrow"/>
          <w:szCs w:val="18"/>
        </w:rPr>
        <w:t>Le forfait de rémunération provisoire (</w:t>
      </w:r>
      <w:proofErr w:type="spellStart"/>
      <w:r w:rsidRPr="00E11D5E">
        <w:rPr>
          <w:rFonts w:cs="Arial Narrow"/>
          <w:szCs w:val="18"/>
        </w:rPr>
        <w:t>Fp</w:t>
      </w:r>
      <w:proofErr w:type="spellEnd"/>
      <w:r w:rsidRPr="00E11D5E">
        <w:rPr>
          <w:rFonts w:cs="Arial Narrow"/>
          <w:szCs w:val="18"/>
        </w:rPr>
        <w:t xml:space="preserve">) </w:t>
      </w:r>
      <w:r>
        <w:rPr>
          <w:rFonts w:cs="Arial Narrow"/>
          <w:szCs w:val="18"/>
        </w:rPr>
        <w:t xml:space="preserve">est calculé par application </w:t>
      </w:r>
      <w:r w:rsidRPr="003A4CF9">
        <w:rPr>
          <w:rFonts w:cs="Arial Narrow"/>
          <w:szCs w:val="18"/>
        </w:rPr>
        <w:t xml:space="preserve">des taux de l’annexe financière de l’acte d’engagement de l’accord-cadre </w:t>
      </w:r>
      <w:r>
        <w:rPr>
          <w:rFonts w:cs="Arial Narrow"/>
          <w:szCs w:val="18"/>
        </w:rPr>
        <w:t>sur le montant de l’estimation des travaux donnée dans le marché subséquent.</w:t>
      </w:r>
    </w:p>
    <w:p w:rsidR="00EF7E3E" w:rsidRPr="00E926EB" w:rsidRDefault="00EF7E3E" w:rsidP="00EF7E3E">
      <w:pPr>
        <w:autoSpaceDE w:val="0"/>
        <w:autoSpaceDN w:val="0"/>
        <w:adjustRightInd w:val="0"/>
        <w:rPr>
          <w:rFonts w:cs="Arial Narrow"/>
          <w:sz w:val="10"/>
          <w:szCs w:val="10"/>
        </w:rPr>
      </w:pPr>
    </w:p>
    <w:p w:rsidR="00EF7E3E" w:rsidRPr="00004270" w:rsidRDefault="00EF7E3E" w:rsidP="00EF7E3E">
      <w:pPr>
        <w:ind w:firstLine="708"/>
        <w:rPr>
          <w:i/>
          <w:u w:val="single"/>
        </w:rPr>
      </w:pPr>
      <w:bookmarkStart w:id="178" w:name="_Toc119597405"/>
      <w:r w:rsidRPr="00004270">
        <w:rPr>
          <w:i/>
          <w:u w:val="single"/>
        </w:rPr>
        <w:t>10.1.2 Forfait de rémunération définitive</w:t>
      </w:r>
      <w:bookmarkEnd w:id="178"/>
    </w:p>
    <w:p w:rsidR="00E926EB" w:rsidRPr="00986FE8" w:rsidRDefault="00E926EB" w:rsidP="00E926EB">
      <w:pPr>
        <w:rPr>
          <w:rFonts w:cs="Arial"/>
          <w:szCs w:val="18"/>
        </w:rPr>
      </w:pPr>
      <w:r w:rsidRPr="00986FE8">
        <w:rPr>
          <w:rFonts w:cs="Arial"/>
          <w:szCs w:val="18"/>
        </w:rPr>
        <w:t>Le forfait définitif est arrêté dès que le coût prévisionnel définitif des travaux est arrêté par le maître d’ouvrage, sur la base de l’estimation établie par le maître d’œuvre</w:t>
      </w:r>
      <w:r>
        <w:rPr>
          <w:rFonts w:cs="Arial"/>
          <w:szCs w:val="18"/>
        </w:rPr>
        <w:t xml:space="preserve"> et</w:t>
      </w:r>
      <w:r w:rsidRPr="00986FE8">
        <w:rPr>
          <w:rFonts w:cs="Arial"/>
          <w:szCs w:val="18"/>
        </w:rPr>
        <w:t xml:space="preserve"> selon les modalités suivantes :</w:t>
      </w:r>
    </w:p>
    <w:p w:rsidR="00E926EB" w:rsidRPr="00986FE8" w:rsidRDefault="00E926EB" w:rsidP="00265B2D">
      <w:pPr>
        <w:pStyle w:val="Txttitre2"/>
        <w:numPr>
          <w:ilvl w:val="0"/>
          <w:numId w:val="13"/>
        </w:numPr>
        <w:spacing w:line="240" w:lineRule="auto"/>
        <w:rPr>
          <w:rFonts w:ascii="Verdana" w:hAnsi="Verdana" w:cs="Arial"/>
          <w:szCs w:val="18"/>
        </w:rPr>
      </w:pPr>
      <w:r w:rsidRPr="00986FE8">
        <w:rPr>
          <w:rFonts w:ascii="Verdana" w:hAnsi="Verdana" w:cs="Arial"/>
          <w:szCs w:val="18"/>
        </w:rPr>
        <w:t xml:space="preserve">Lorsque le coût prévisionnel des travaux (tel qu’il est défini à l’article </w:t>
      </w:r>
      <w:r>
        <w:rPr>
          <w:rFonts w:ascii="Verdana" w:hAnsi="Verdana" w:cs="Arial"/>
          <w:szCs w:val="18"/>
        </w:rPr>
        <w:t>9</w:t>
      </w:r>
      <w:r w:rsidRPr="00986FE8">
        <w:rPr>
          <w:rFonts w:ascii="Verdana" w:hAnsi="Verdana" w:cs="Arial"/>
          <w:szCs w:val="18"/>
        </w:rPr>
        <w:t>.</w:t>
      </w:r>
      <w:r>
        <w:rPr>
          <w:rFonts w:ascii="Verdana" w:hAnsi="Verdana" w:cs="Arial"/>
          <w:szCs w:val="18"/>
        </w:rPr>
        <w:t>2</w:t>
      </w:r>
      <w:r w:rsidRPr="00986FE8">
        <w:rPr>
          <w:rFonts w:ascii="Verdana" w:hAnsi="Verdana" w:cs="Arial"/>
          <w:szCs w:val="18"/>
        </w:rPr>
        <w:t xml:space="preserve"> du présent CCAP et sans prendre en compte les modifications de programme) proposé par le maître d’œuvre après les études d’Avant-Projet est compris entre </w:t>
      </w:r>
      <w:r w:rsidRPr="00986FE8">
        <w:rPr>
          <w:rFonts w:ascii="Verdana" w:hAnsi="Verdana" w:cs="Arial"/>
          <w:b/>
          <w:szCs w:val="18"/>
        </w:rPr>
        <w:t>95% et 105%</w:t>
      </w:r>
      <w:r w:rsidRPr="00986FE8">
        <w:rPr>
          <w:rFonts w:ascii="Verdana" w:hAnsi="Verdana" w:cs="Arial"/>
          <w:szCs w:val="18"/>
        </w:rPr>
        <w:t xml:space="preserve"> de la part de l’enveloppe financière affectée aux travaux par le maître de l’ouvrage, la notification de la réception par le maître de l’ouvrage de l’élément AVP et acceptant le coût prévisionnel des travaux, vaut transformation du forfait provisoire de rémunération en forfait définitif.</w:t>
      </w:r>
    </w:p>
    <w:p w:rsidR="00E926EB" w:rsidRPr="00C223C3" w:rsidRDefault="00E926EB" w:rsidP="00DA780F">
      <w:pPr>
        <w:pStyle w:val="Txttitre2"/>
        <w:numPr>
          <w:ilvl w:val="0"/>
          <w:numId w:val="13"/>
        </w:numPr>
        <w:spacing w:line="240" w:lineRule="auto"/>
        <w:rPr>
          <w:rFonts w:ascii="Verdana" w:hAnsi="Verdana" w:cs="Arial"/>
          <w:szCs w:val="18"/>
        </w:rPr>
      </w:pPr>
      <w:r w:rsidRPr="00986FE8">
        <w:rPr>
          <w:rFonts w:ascii="Verdana" w:hAnsi="Verdana" w:cs="Arial"/>
          <w:szCs w:val="18"/>
        </w:rPr>
        <w:t xml:space="preserve">Lorsque le coût prévisionnel proposé par le maître d’œuvre, et accepté par le maître de l’ouvrage, est inférieur à </w:t>
      </w:r>
      <w:r w:rsidRPr="00986FE8">
        <w:rPr>
          <w:rFonts w:ascii="Verdana" w:hAnsi="Verdana" w:cs="Arial"/>
          <w:b/>
          <w:szCs w:val="18"/>
        </w:rPr>
        <w:t>95%</w:t>
      </w:r>
      <w:r w:rsidRPr="00986FE8">
        <w:rPr>
          <w:rFonts w:ascii="Verdana" w:hAnsi="Verdana" w:cs="Arial"/>
          <w:szCs w:val="18"/>
        </w:rPr>
        <w:t xml:space="preserve"> de l’enveloppe financière affectée aux travaux ou supérieur à </w:t>
      </w:r>
      <w:r w:rsidRPr="00986FE8">
        <w:rPr>
          <w:rFonts w:ascii="Verdana" w:hAnsi="Verdana" w:cs="Arial"/>
          <w:b/>
          <w:szCs w:val="18"/>
        </w:rPr>
        <w:t>105%</w:t>
      </w:r>
      <w:r w:rsidRPr="00986FE8">
        <w:rPr>
          <w:rFonts w:ascii="Verdana" w:hAnsi="Verdana" w:cs="Arial"/>
          <w:szCs w:val="18"/>
        </w:rPr>
        <w:t xml:space="preserve"> de la valeur de cette dernière, une modification au marché public (ou « avenant ») permettant de fixer le coût prévisionnel définitif des travaux, tel que prévu à l’article </w:t>
      </w:r>
      <w:r>
        <w:rPr>
          <w:rFonts w:ascii="Verdana" w:hAnsi="Verdana" w:cs="Arial"/>
          <w:szCs w:val="18"/>
        </w:rPr>
        <w:t>9</w:t>
      </w:r>
      <w:r w:rsidRPr="00986FE8">
        <w:rPr>
          <w:rFonts w:ascii="Verdana" w:hAnsi="Verdana" w:cs="Arial"/>
          <w:szCs w:val="18"/>
        </w:rPr>
        <w:t xml:space="preserve"> intitulé « Coût des travaux » du présent CCAP, fixe le forfait définitif de rémunération.</w:t>
      </w:r>
      <w:r>
        <w:rPr>
          <w:rFonts w:ascii="Verdana" w:hAnsi="Verdana" w:cs="Arial"/>
          <w:szCs w:val="18"/>
        </w:rPr>
        <w:tab/>
      </w:r>
      <w:r>
        <w:rPr>
          <w:rFonts w:ascii="Verdana" w:hAnsi="Verdana" w:cs="Arial"/>
          <w:szCs w:val="18"/>
        </w:rPr>
        <w:br/>
        <w:t>Dans ce cas, l</w:t>
      </w:r>
      <w:r w:rsidRPr="00C223C3">
        <w:rPr>
          <w:rFonts w:ascii="Verdana" w:hAnsi="Verdana" w:cs="Arial"/>
          <w:szCs w:val="18"/>
        </w:rPr>
        <w:t>e forfait définitif s’obtient en appliquant au forfait provisoire un coefficient de correction. Ce coefficient de correction se calcule en divisant le coût prévisionnel définitif des travaux phase APD par :</w:t>
      </w:r>
    </w:p>
    <w:p w:rsidR="00E926EB" w:rsidRPr="00986FE8" w:rsidRDefault="00E926EB" w:rsidP="00DA780F">
      <w:pPr>
        <w:pStyle w:val="Txttitre2"/>
        <w:numPr>
          <w:ilvl w:val="0"/>
          <w:numId w:val="18"/>
        </w:numPr>
        <w:spacing w:before="0" w:line="240" w:lineRule="auto"/>
        <w:rPr>
          <w:rFonts w:ascii="Verdana" w:hAnsi="Verdana" w:cs="Arial"/>
          <w:szCs w:val="18"/>
        </w:rPr>
      </w:pPr>
      <w:r w:rsidRPr="00986FE8">
        <w:rPr>
          <w:rFonts w:ascii="Verdana" w:hAnsi="Verdana" w:cs="Arial"/>
          <w:szCs w:val="18"/>
        </w:rPr>
        <w:t xml:space="preserve">Le montant de l’enveloppe financière affectée aux travaux et mentionnée à l’acte d’engagement, majoré du coefficient </w:t>
      </w:r>
      <w:r w:rsidRPr="00986FE8">
        <w:rPr>
          <w:rFonts w:ascii="Verdana" w:hAnsi="Verdana" w:cs="Arial"/>
          <w:b/>
          <w:szCs w:val="18"/>
        </w:rPr>
        <w:t>1.05</w:t>
      </w:r>
      <w:r w:rsidRPr="00986FE8">
        <w:rPr>
          <w:rFonts w:ascii="Verdana" w:hAnsi="Verdana" w:cs="Arial"/>
          <w:szCs w:val="18"/>
        </w:rPr>
        <w:t>, dans le cas où le coût prévisionnel des travaux est supérieur à l’enveloppe financière.</w:t>
      </w:r>
    </w:p>
    <w:p w:rsidR="00E926EB" w:rsidRDefault="00E926EB" w:rsidP="00C9053E">
      <w:pPr>
        <w:pStyle w:val="Txttitre2"/>
        <w:numPr>
          <w:ilvl w:val="0"/>
          <w:numId w:val="18"/>
        </w:numPr>
        <w:spacing w:line="240" w:lineRule="auto"/>
        <w:rPr>
          <w:rFonts w:ascii="Verdana" w:hAnsi="Verdana" w:cs="Arial"/>
          <w:szCs w:val="18"/>
        </w:rPr>
      </w:pPr>
      <w:r w:rsidRPr="00986FE8">
        <w:rPr>
          <w:rFonts w:ascii="Verdana" w:hAnsi="Verdana" w:cs="Arial"/>
          <w:szCs w:val="18"/>
        </w:rPr>
        <w:t xml:space="preserve">Le montant de l’enveloppe financière affectée aux travaux minorée du coefficient </w:t>
      </w:r>
      <w:r w:rsidRPr="00986FE8">
        <w:rPr>
          <w:rFonts w:ascii="Verdana" w:hAnsi="Verdana" w:cs="Arial"/>
          <w:b/>
          <w:szCs w:val="18"/>
        </w:rPr>
        <w:t>0.95</w:t>
      </w:r>
      <w:r w:rsidRPr="00986FE8">
        <w:rPr>
          <w:rFonts w:ascii="Verdana" w:hAnsi="Verdana" w:cs="Arial"/>
          <w:szCs w:val="18"/>
        </w:rPr>
        <w:t>, dans le cas où le coût prévisionnel des travaux est inférieur à l’enveloppe financière.</w:t>
      </w:r>
    </w:p>
    <w:p w:rsidR="00E926EB" w:rsidRPr="00E926EB" w:rsidRDefault="00E926EB" w:rsidP="00E926EB">
      <w:pPr>
        <w:pStyle w:val="Txttitre2"/>
        <w:spacing w:before="0"/>
        <w:ind w:left="0"/>
        <w:rPr>
          <w:rFonts w:ascii="Verdana" w:hAnsi="Verdana" w:cs="Arial"/>
          <w:sz w:val="10"/>
          <w:szCs w:val="10"/>
        </w:rPr>
      </w:pPr>
    </w:p>
    <w:p w:rsidR="00E926EB" w:rsidRPr="00986FE8" w:rsidRDefault="00E926EB" w:rsidP="00E926EB">
      <w:pPr>
        <w:rPr>
          <w:rFonts w:cs="Arial"/>
          <w:szCs w:val="18"/>
        </w:rPr>
      </w:pPr>
      <w:r w:rsidRPr="00986FE8">
        <w:rPr>
          <w:rFonts w:cs="Arial"/>
          <w:szCs w:val="18"/>
        </w:rPr>
        <w:t>Le forfait définitif est réputé établi sur la base des conditions économiques en vigueur au mois « </w:t>
      </w:r>
      <w:r w:rsidRPr="00986FE8">
        <w:rPr>
          <w:rFonts w:cs="Arial"/>
          <w:b/>
          <w:szCs w:val="18"/>
        </w:rPr>
        <w:t>M</w:t>
      </w:r>
      <w:r w:rsidRPr="00986FE8">
        <w:rPr>
          <w:rFonts w:cs="Arial"/>
          <w:b/>
          <w:szCs w:val="18"/>
          <w:vertAlign w:val="subscript"/>
        </w:rPr>
        <w:t>0</w:t>
      </w:r>
      <w:r w:rsidRPr="00986FE8">
        <w:rPr>
          <w:rFonts w:cs="Arial"/>
          <w:szCs w:val="18"/>
        </w:rPr>
        <w:t> » des études figurant dans l’acte d’engagement du présent marché.</w:t>
      </w:r>
    </w:p>
    <w:p w:rsidR="00E926EB" w:rsidRPr="00E926EB" w:rsidRDefault="00E926EB" w:rsidP="00E926EB">
      <w:pPr>
        <w:rPr>
          <w:rFonts w:cs="Arial"/>
          <w:sz w:val="10"/>
          <w:szCs w:val="10"/>
        </w:rPr>
      </w:pPr>
    </w:p>
    <w:p w:rsidR="00551909" w:rsidRDefault="00E926EB" w:rsidP="00E926EB">
      <w:pPr>
        <w:autoSpaceDE w:val="0"/>
        <w:autoSpaceDN w:val="0"/>
        <w:adjustRightInd w:val="0"/>
        <w:rPr>
          <w:rFonts w:cs="Arial"/>
          <w:szCs w:val="18"/>
        </w:rPr>
      </w:pPr>
      <w:r w:rsidRPr="00986FE8">
        <w:rPr>
          <w:rFonts w:cs="Arial"/>
          <w:szCs w:val="18"/>
        </w:rPr>
        <w:t>Les éventuelles modification</w:t>
      </w:r>
      <w:r>
        <w:rPr>
          <w:rFonts w:cs="Arial"/>
          <w:szCs w:val="18"/>
        </w:rPr>
        <w:t>s</w:t>
      </w:r>
      <w:r w:rsidRPr="00986FE8">
        <w:rPr>
          <w:rFonts w:cs="Arial"/>
          <w:szCs w:val="18"/>
        </w:rPr>
        <w:t xml:space="preserve"> de programme, selon leur importance et leur complexité, peuvent faire l’objet d’une modification du marché public négociée entre les 2 parties</w:t>
      </w:r>
      <w:r>
        <w:rPr>
          <w:rFonts w:cs="Arial"/>
          <w:szCs w:val="18"/>
        </w:rPr>
        <w:t>.</w:t>
      </w:r>
    </w:p>
    <w:p w:rsidR="00DA780F" w:rsidRDefault="00DA780F" w:rsidP="00E926EB">
      <w:pPr>
        <w:autoSpaceDE w:val="0"/>
        <w:autoSpaceDN w:val="0"/>
        <w:adjustRightInd w:val="0"/>
        <w:rPr>
          <w:rFonts w:cs="Arial"/>
          <w:szCs w:val="18"/>
        </w:rPr>
      </w:pPr>
    </w:p>
    <w:p w:rsidR="00032829" w:rsidRPr="00EF7E3E" w:rsidRDefault="00032829" w:rsidP="00EF7E3E">
      <w:pPr>
        <w:autoSpaceDE w:val="0"/>
        <w:autoSpaceDN w:val="0"/>
        <w:adjustRightInd w:val="0"/>
        <w:rPr>
          <w:rFonts w:cs="Arial Narrow"/>
          <w:szCs w:val="18"/>
        </w:rPr>
      </w:pPr>
    </w:p>
    <w:p w:rsidR="00EF7E3E" w:rsidRPr="00004270" w:rsidRDefault="00EF7E3E" w:rsidP="00032829">
      <w:pPr>
        <w:rPr>
          <w:i/>
          <w:u w:val="single"/>
        </w:rPr>
      </w:pPr>
      <w:bookmarkStart w:id="179" w:name="_Toc119597406"/>
      <w:r>
        <w:tab/>
      </w:r>
      <w:r w:rsidRPr="00004270">
        <w:rPr>
          <w:i/>
          <w:u w:val="single"/>
        </w:rPr>
        <w:t>10.1.3 Modification du coût prévisionnel des travaux pouvant ouvrir droit à augmentation ou diminution de la rémunération du maître d’œuvre</w:t>
      </w:r>
      <w:bookmarkEnd w:id="179"/>
      <w:r w:rsidRPr="00004270">
        <w:rPr>
          <w:i/>
          <w:u w:val="single"/>
        </w:rPr>
        <w:t xml:space="preserve"> </w:t>
      </w:r>
    </w:p>
    <w:p w:rsidR="00EF7E3E" w:rsidRDefault="00EF7E3E" w:rsidP="00EF7E3E">
      <w:pPr>
        <w:autoSpaceDE w:val="0"/>
        <w:autoSpaceDN w:val="0"/>
        <w:adjustRightInd w:val="0"/>
        <w:rPr>
          <w:rFonts w:cs="Verdana"/>
          <w:szCs w:val="18"/>
        </w:rPr>
      </w:pPr>
      <w:r>
        <w:rPr>
          <w:rFonts w:cs="Arial Narrow"/>
          <w:szCs w:val="18"/>
        </w:rPr>
        <w:t>L’article 26 du CCAG-MOE « clause de réexamen » s’applique pleinement en cas de la survenance d’une circonstance non prévue dans les conditions d’exécution du marché subséquent. Relèvent de la mise en jeu de cette clause de réexamen les cas suivants :</w:t>
      </w:r>
    </w:p>
    <w:p w:rsidR="00EF7E3E" w:rsidRPr="00C9053E" w:rsidRDefault="00EF7E3E" w:rsidP="00EF7E3E">
      <w:pPr>
        <w:rPr>
          <w:rFonts w:cs="Verdana"/>
          <w:sz w:val="10"/>
          <w:szCs w:val="10"/>
        </w:rPr>
      </w:pPr>
    </w:p>
    <w:p w:rsidR="00EF7E3E" w:rsidRDefault="00EF7E3E" w:rsidP="008F2B6A">
      <w:pPr>
        <w:numPr>
          <w:ilvl w:val="0"/>
          <w:numId w:val="26"/>
        </w:numPr>
        <w:suppressAutoHyphens/>
        <w:rPr>
          <w:rFonts w:cs="Verdana"/>
          <w:szCs w:val="18"/>
        </w:rPr>
      </w:pPr>
      <w:r w:rsidRPr="008417C3">
        <w:rPr>
          <w:rFonts w:cs="Verdana"/>
          <w:szCs w:val="18"/>
        </w:rPr>
        <w:t>Modification de programme décidée par le maître d’ouvrage, à la hausse ou à la baisse,</w:t>
      </w:r>
    </w:p>
    <w:p w:rsidR="00EF7E3E" w:rsidRPr="008417C3" w:rsidRDefault="00EF7E3E" w:rsidP="008F2B6A">
      <w:pPr>
        <w:numPr>
          <w:ilvl w:val="0"/>
          <w:numId w:val="26"/>
        </w:numPr>
        <w:suppressAutoHyphens/>
        <w:rPr>
          <w:rFonts w:cs="Verdana"/>
          <w:szCs w:val="18"/>
        </w:rPr>
      </w:pPr>
      <w:r w:rsidRPr="008417C3">
        <w:rPr>
          <w:rFonts w:cs="Verdana"/>
          <w:szCs w:val="18"/>
        </w:rPr>
        <w:t>Sujétions techniques imprévues,</w:t>
      </w:r>
    </w:p>
    <w:p w:rsidR="00EF7E3E" w:rsidRPr="007F7BD2" w:rsidRDefault="00EF7E3E" w:rsidP="008F2B6A">
      <w:pPr>
        <w:numPr>
          <w:ilvl w:val="0"/>
          <w:numId w:val="26"/>
        </w:numPr>
        <w:suppressAutoHyphens/>
        <w:rPr>
          <w:rFonts w:cs="Verdana"/>
          <w:szCs w:val="18"/>
        </w:rPr>
      </w:pPr>
      <w:r w:rsidRPr="00AE050C">
        <w:rPr>
          <w:rFonts w:cs="Verdana"/>
          <w:szCs w:val="18"/>
        </w:rPr>
        <w:t>Prestations non prévues décidées par le maitre d’œuvre et rendues indispensables à la réalisation de l’ouvrage selon les règles de l’art après validation du maitre d’ouvrage.</w:t>
      </w:r>
      <w:r>
        <w:rPr>
          <w:rFonts w:cs="Verdana"/>
          <w:szCs w:val="18"/>
        </w:rPr>
        <w:t xml:space="preserve"> </w:t>
      </w:r>
      <w:r w:rsidRPr="007F7BD2">
        <w:rPr>
          <w:rFonts w:cs="Verdana"/>
          <w:szCs w:val="18"/>
        </w:rPr>
        <w:t xml:space="preserve">Dans ce cas le maître </w:t>
      </w:r>
      <w:r w:rsidRPr="007F7BD2">
        <w:rPr>
          <w:rFonts w:cs="Verdana"/>
          <w:szCs w:val="18"/>
        </w:rPr>
        <w:lastRenderedPageBreak/>
        <w:t>d’œuvre fournit un mémoire justificatif qui devra être expressément approuvé par le maître d’ouvrage.</w:t>
      </w:r>
    </w:p>
    <w:p w:rsidR="00EF7E3E" w:rsidRPr="00E926EB" w:rsidRDefault="00EF7E3E" w:rsidP="00EF7E3E">
      <w:pPr>
        <w:rPr>
          <w:rFonts w:cs="Verdana"/>
          <w:sz w:val="10"/>
          <w:szCs w:val="10"/>
        </w:rPr>
      </w:pPr>
    </w:p>
    <w:p w:rsidR="00EF7E3E" w:rsidRDefault="00EF7E3E" w:rsidP="00EF7E3E">
      <w:pPr>
        <w:rPr>
          <w:rFonts w:cs="Verdana"/>
          <w:szCs w:val="18"/>
        </w:rPr>
      </w:pPr>
      <w:r w:rsidRPr="00AE050C">
        <w:rPr>
          <w:rFonts w:cs="Verdana"/>
          <w:szCs w:val="18"/>
        </w:rPr>
        <w:t>L’incidence financière de ces modifications</w:t>
      </w:r>
      <w:r>
        <w:rPr>
          <w:rFonts w:cs="Verdana"/>
          <w:szCs w:val="18"/>
        </w:rPr>
        <w:t>, une fois acceptées par le maître d’ouvrage,</w:t>
      </w:r>
      <w:r w:rsidRPr="00AE050C">
        <w:rPr>
          <w:rFonts w:cs="Verdana"/>
          <w:szCs w:val="18"/>
        </w:rPr>
        <w:t xml:space="preserve"> </w:t>
      </w:r>
      <w:r>
        <w:rPr>
          <w:rFonts w:cs="Verdana"/>
          <w:szCs w:val="18"/>
        </w:rPr>
        <w:t>sera</w:t>
      </w:r>
      <w:r w:rsidRPr="00AE050C">
        <w:rPr>
          <w:rFonts w:cs="Verdana"/>
          <w:szCs w:val="18"/>
        </w:rPr>
        <w:t xml:space="preserve"> répercutée dans le coût prévisionnel </w:t>
      </w:r>
      <w:r>
        <w:rPr>
          <w:rFonts w:cs="Verdana"/>
          <w:szCs w:val="18"/>
        </w:rPr>
        <w:t xml:space="preserve">définitif </w:t>
      </w:r>
      <w:r w:rsidRPr="00AE050C">
        <w:rPr>
          <w:rFonts w:cs="Verdana"/>
          <w:szCs w:val="18"/>
        </w:rPr>
        <w:t xml:space="preserve">des travaux </w:t>
      </w:r>
      <w:r w:rsidRPr="00A00037">
        <w:rPr>
          <w:rFonts w:cs="Verdana"/>
          <w:szCs w:val="18"/>
        </w:rPr>
        <w:t xml:space="preserve">sur lequel s’engage le maître d’œuvre </w:t>
      </w:r>
      <w:r w:rsidRPr="00AE050C">
        <w:rPr>
          <w:rFonts w:cs="Verdana"/>
          <w:szCs w:val="18"/>
        </w:rPr>
        <w:t>que la modification intervienne en phase étude ou en phase travaux. La rémunération du maître d’œuvre est corrigée en conséquence.</w:t>
      </w:r>
    </w:p>
    <w:p w:rsidR="00A961E8" w:rsidRPr="00E926EB" w:rsidRDefault="00A961E8" w:rsidP="00EF7E3E">
      <w:pPr>
        <w:rPr>
          <w:rFonts w:cs="Verdana"/>
          <w:sz w:val="10"/>
          <w:szCs w:val="10"/>
        </w:rPr>
      </w:pPr>
    </w:p>
    <w:p w:rsidR="00A961E8" w:rsidRDefault="00A961E8" w:rsidP="00EF7E3E">
      <w:pPr>
        <w:rPr>
          <w:rFonts w:cs="Verdana"/>
          <w:szCs w:val="18"/>
        </w:rPr>
      </w:pPr>
      <w:r w:rsidRPr="00F1491A">
        <w:rPr>
          <w:rFonts w:cs="Verdana"/>
          <w:szCs w:val="18"/>
        </w:rPr>
        <w:t>Par ailleurs si le coût des travaux issu de la consultation des entreprises (somme des montants des marchés travaux pour l’ensemble des lots) est inférieur de plus de 5% au coût prévisionnel des travaux accepté par le maître d’ouvrage à l’issu de l’APD, le forfait de rémunération du maître d’œuvre sera revu en appliquant les taux de l’annexe financière de l’acte d’engagement de l’accord cadre sur le coût des travaux issu de la consultation des entreprises pour les missions DET, VISA, OPC et AOR.</w:t>
      </w:r>
    </w:p>
    <w:p w:rsidR="00032829" w:rsidRDefault="00032829" w:rsidP="00EF7E3E">
      <w:pPr>
        <w:rPr>
          <w:rFonts w:cs="Verdana"/>
          <w:szCs w:val="18"/>
        </w:rPr>
      </w:pPr>
    </w:p>
    <w:p w:rsidR="00EF7E3E" w:rsidRPr="00004270" w:rsidRDefault="00EF7E3E" w:rsidP="00032829">
      <w:pPr>
        <w:rPr>
          <w:i/>
          <w:u w:val="single"/>
        </w:rPr>
      </w:pPr>
      <w:bookmarkStart w:id="180" w:name="_Toc119597407"/>
      <w:r>
        <w:tab/>
      </w:r>
      <w:r w:rsidRPr="00004270">
        <w:rPr>
          <w:i/>
          <w:u w:val="single"/>
        </w:rPr>
        <w:t>10.1.4 Modification de la consistance du projet ne donnant pas droit à augmentation de la rémunération du maître d’œuvre</w:t>
      </w:r>
      <w:bookmarkEnd w:id="180"/>
    </w:p>
    <w:p w:rsidR="00EF7E3E" w:rsidRDefault="00EF7E3E" w:rsidP="008F2B6A">
      <w:pPr>
        <w:numPr>
          <w:ilvl w:val="0"/>
          <w:numId w:val="27"/>
        </w:numPr>
        <w:suppressAutoHyphens/>
        <w:rPr>
          <w:rFonts w:cs="Verdana"/>
          <w:szCs w:val="18"/>
        </w:rPr>
      </w:pPr>
      <w:r w:rsidRPr="00AE050C">
        <w:rPr>
          <w:rFonts w:cs="Verdana"/>
          <w:szCs w:val="18"/>
        </w:rPr>
        <w:t>Erreurs, insuffisances ou imprécisions dans les études du maître d’œuvre</w:t>
      </w:r>
      <w:r>
        <w:rPr>
          <w:rFonts w:cs="Verdana"/>
          <w:szCs w:val="18"/>
        </w:rPr>
        <w:t> ;</w:t>
      </w:r>
    </w:p>
    <w:p w:rsidR="00EF7E3E" w:rsidRDefault="00EF7E3E" w:rsidP="008F2B6A">
      <w:pPr>
        <w:numPr>
          <w:ilvl w:val="0"/>
          <w:numId w:val="27"/>
        </w:numPr>
        <w:suppressAutoHyphens/>
        <w:rPr>
          <w:rFonts w:cs="Verdana"/>
          <w:szCs w:val="18"/>
        </w:rPr>
      </w:pPr>
      <w:r>
        <w:rPr>
          <w:rFonts w:cs="Verdana"/>
          <w:szCs w:val="18"/>
        </w:rPr>
        <w:t>Simple augmentation du coût des matières premières, des matériaux, liée à la situation économique nationale ou mondiale (conséquence d’une pandémie, suite de la guerre en Ukraine ou extension de conflits…).</w:t>
      </w:r>
    </w:p>
    <w:p w:rsidR="00032829" w:rsidRPr="00EF7E3E" w:rsidRDefault="00032829" w:rsidP="00032829">
      <w:pPr>
        <w:suppressAutoHyphens/>
        <w:ind w:left="720"/>
        <w:rPr>
          <w:rFonts w:cs="Verdana"/>
          <w:szCs w:val="18"/>
        </w:rPr>
      </w:pPr>
    </w:p>
    <w:p w:rsidR="00EF7E3E" w:rsidRPr="00004270" w:rsidRDefault="00EF7E3E" w:rsidP="00032829">
      <w:pPr>
        <w:rPr>
          <w:i/>
          <w:u w:val="single"/>
        </w:rPr>
      </w:pPr>
      <w:bookmarkStart w:id="181" w:name="_Toc119597408"/>
      <w:r w:rsidRPr="00032829">
        <w:rPr>
          <w:i/>
        </w:rPr>
        <w:tab/>
      </w:r>
      <w:r w:rsidRPr="00004270">
        <w:rPr>
          <w:i/>
          <w:u w:val="single"/>
        </w:rPr>
        <w:t>10.1.5 Engagement du maître d’œuvre sur le coût des travaux</w:t>
      </w:r>
      <w:bookmarkEnd w:id="181"/>
    </w:p>
    <w:p w:rsidR="00EF7E3E" w:rsidRPr="00AE050C" w:rsidRDefault="00EF7E3E" w:rsidP="00EF7E3E">
      <w:pPr>
        <w:rPr>
          <w:rFonts w:cs="Verdana"/>
          <w:szCs w:val="18"/>
        </w:rPr>
      </w:pPr>
      <w:r w:rsidRPr="00AE050C">
        <w:rPr>
          <w:rFonts w:cs="Verdana"/>
          <w:szCs w:val="18"/>
        </w:rPr>
        <w:t xml:space="preserve">Le coût prévisionnel des travaux </w:t>
      </w:r>
      <w:r w:rsidRPr="00A00037">
        <w:rPr>
          <w:rFonts w:cs="Verdana"/>
          <w:szCs w:val="18"/>
        </w:rPr>
        <w:t xml:space="preserve">sur lequel s’engage le maître d’œuvre </w:t>
      </w:r>
      <w:r w:rsidRPr="00AE050C">
        <w:rPr>
          <w:rFonts w:cs="Verdana"/>
          <w:szCs w:val="18"/>
        </w:rPr>
        <w:t xml:space="preserve">comprend l'ensemble des travaux nécessaires à la réalisation du </w:t>
      </w:r>
      <w:r>
        <w:rPr>
          <w:rFonts w:cs="Verdana"/>
          <w:szCs w:val="18"/>
        </w:rPr>
        <w:t>projet</w:t>
      </w:r>
      <w:r w:rsidRPr="00AE050C">
        <w:rPr>
          <w:rFonts w:cs="Verdana"/>
          <w:szCs w:val="18"/>
        </w:rPr>
        <w:t xml:space="preserve"> à l'exclusion :</w:t>
      </w:r>
    </w:p>
    <w:p w:rsidR="00EF7E3E" w:rsidRPr="00AE050C" w:rsidRDefault="00EF7E3E" w:rsidP="008F2B6A">
      <w:pPr>
        <w:numPr>
          <w:ilvl w:val="0"/>
          <w:numId w:val="27"/>
        </w:numPr>
        <w:suppressAutoHyphens/>
        <w:rPr>
          <w:rFonts w:cs="Verdana"/>
          <w:szCs w:val="18"/>
        </w:rPr>
      </w:pPr>
      <w:r w:rsidRPr="00AE050C">
        <w:rPr>
          <w:rFonts w:cs="Verdana"/>
          <w:szCs w:val="18"/>
        </w:rPr>
        <w:t>du forfait de rémunération</w:t>
      </w:r>
    </w:p>
    <w:p w:rsidR="00EF7E3E" w:rsidRPr="00AE050C" w:rsidRDefault="00EF7E3E" w:rsidP="008F2B6A">
      <w:pPr>
        <w:numPr>
          <w:ilvl w:val="0"/>
          <w:numId w:val="27"/>
        </w:numPr>
        <w:suppressAutoHyphens/>
        <w:rPr>
          <w:rFonts w:cs="Verdana"/>
          <w:szCs w:val="18"/>
        </w:rPr>
      </w:pPr>
      <w:r w:rsidRPr="00AE050C">
        <w:rPr>
          <w:rFonts w:cs="Verdana"/>
          <w:szCs w:val="18"/>
        </w:rPr>
        <w:t xml:space="preserve">des frais de contrôle technique et coordonnateur SPS </w:t>
      </w:r>
    </w:p>
    <w:p w:rsidR="00EF7E3E" w:rsidRPr="00A00037" w:rsidRDefault="00EF7E3E" w:rsidP="008F2B6A">
      <w:pPr>
        <w:numPr>
          <w:ilvl w:val="0"/>
          <w:numId w:val="27"/>
        </w:numPr>
        <w:suppressAutoHyphens/>
        <w:rPr>
          <w:rFonts w:cs="Verdana"/>
          <w:szCs w:val="18"/>
        </w:rPr>
      </w:pPr>
      <w:r w:rsidRPr="00AE050C">
        <w:rPr>
          <w:rFonts w:cs="Verdana"/>
          <w:szCs w:val="18"/>
        </w:rPr>
        <w:t>de tous les frais financiers</w:t>
      </w:r>
    </w:p>
    <w:p w:rsidR="00EF7E3E" w:rsidRPr="00E926EB" w:rsidRDefault="00EF7E3E" w:rsidP="00EF7E3E">
      <w:pPr>
        <w:rPr>
          <w:rFonts w:cs="Verdana"/>
          <w:sz w:val="10"/>
          <w:szCs w:val="10"/>
        </w:rPr>
      </w:pPr>
    </w:p>
    <w:p w:rsidR="00EF7E3E" w:rsidRPr="00AE050C" w:rsidRDefault="00EF7E3E" w:rsidP="00EF7E3E">
      <w:pPr>
        <w:rPr>
          <w:rFonts w:cs="Verdana"/>
          <w:szCs w:val="18"/>
        </w:rPr>
      </w:pPr>
      <w:r>
        <w:rPr>
          <w:rFonts w:cs="Verdana"/>
          <w:szCs w:val="18"/>
        </w:rPr>
        <w:t>Il</w:t>
      </w:r>
      <w:r w:rsidRPr="00AE050C">
        <w:rPr>
          <w:rFonts w:cs="Verdana"/>
          <w:szCs w:val="18"/>
        </w:rPr>
        <w:t xml:space="preserve"> comprend notamment le coût des travaux préparatoires et toutes les installations provisoires, les frais d’aménagement des espaces extérieurs y compris les clôtures, tous les travaux de raccordement aux réseaux d’eau, d’électricité, de gaz et d’égouts provisoires. </w:t>
      </w:r>
    </w:p>
    <w:p w:rsidR="00EF7E3E" w:rsidRDefault="00EF7E3E" w:rsidP="00EF7E3E">
      <w:pPr>
        <w:rPr>
          <w:rFonts w:cs="Verdana"/>
          <w:szCs w:val="18"/>
        </w:rPr>
      </w:pPr>
      <w:r>
        <w:rPr>
          <w:rFonts w:cs="Verdana"/>
          <w:szCs w:val="18"/>
        </w:rPr>
        <w:t>Il</w:t>
      </w:r>
      <w:r w:rsidRPr="00AE050C">
        <w:rPr>
          <w:rFonts w:cs="Verdana"/>
          <w:szCs w:val="18"/>
        </w:rPr>
        <w:t xml:space="preserve"> comprend également le coût des équipements et mobiliers intégrés, ainsi que tout autre poste de dépense nécessaire à la complète livraison des ouvrages compte tenu des normes et règles de l’art en vigueur au moment de la signature du présent marché.</w:t>
      </w:r>
    </w:p>
    <w:p w:rsidR="00032829" w:rsidRDefault="00032829" w:rsidP="00EF7E3E">
      <w:pPr>
        <w:rPr>
          <w:rFonts w:cs="Verdana"/>
          <w:szCs w:val="18"/>
        </w:rPr>
      </w:pPr>
    </w:p>
    <w:p w:rsidR="00EF7E3E" w:rsidRPr="00004270" w:rsidRDefault="00EF7E3E" w:rsidP="00004270">
      <w:pPr>
        <w:ind w:firstLine="708"/>
        <w:rPr>
          <w:i/>
          <w:u w:val="single"/>
        </w:rPr>
      </w:pPr>
      <w:bookmarkStart w:id="182" w:name="_Toc518051547"/>
      <w:bookmarkStart w:id="183" w:name="_Toc518051660"/>
      <w:bookmarkStart w:id="184" w:name="_Toc119597409"/>
      <w:r w:rsidRPr="00004270">
        <w:rPr>
          <w:i/>
          <w:u w:val="single"/>
        </w:rPr>
        <w:t>10.1.6 Tolérance sur le coût prévisionnel des travaux</w:t>
      </w:r>
      <w:bookmarkEnd w:id="182"/>
      <w:bookmarkEnd w:id="183"/>
      <w:bookmarkEnd w:id="184"/>
    </w:p>
    <w:p w:rsidR="008A7CB4" w:rsidRPr="00D85D85" w:rsidRDefault="008A7CB4" w:rsidP="008A7CB4">
      <w:pPr>
        <w:rPr>
          <w:rFonts w:cs="Arial"/>
          <w:b/>
          <w:szCs w:val="18"/>
        </w:rPr>
      </w:pPr>
      <w:r w:rsidRPr="00D85D85">
        <w:rPr>
          <w:rFonts w:cs="Arial"/>
          <w:szCs w:val="18"/>
        </w:rPr>
        <w:t xml:space="preserve">Le coût prévisionnel des travaux est assorti d’un taux de tolérance </w:t>
      </w:r>
      <w:r w:rsidRPr="00207CF7">
        <w:rPr>
          <w:rFonts w:cs="Arial"/>
          <w:b/>
          <w:szCs w:val="18"/>
        </w:rPr>
        <w:t xml:space="preserve">de </w:t>
      </w:r>
      <w:r w:rsidR="00431407">
        <w:rPr>
          <w:rFonts w:cs="Arial"/>
          <w:b/>
          <w:szCs w:val="18"/>
        </w:rPr>
        <w:t>6</w:t>
      </w:r>
      <w:r w:rsidR="00207CF7">
        <w:rPr>
          <w:rFonts w:cs="Arial"/>
          <w:szCs w:val="18"/>
        </w:rPr>
        <w:t xml:space="preserve"> </w:t>
      </w:r>
      <w:r w:rsidRPr="00D85D85">
        <w:rPr>
          <w:rFonts w:cs="Arial"/>
          <w:b/>
          <w:szCs w:val="18"/>
        </w:rPr>
        <w:t>% </w:t>
      </w:r>
    </w:p>
    <w:p w:rsidR="008A7CB4" w:rsidRPr="00E926EB" w:rsidRDefault="008A7CB4" w:rsidP="008A7CB4">
      <w:pPr>
        <w:rPr>
          <w:rFonts w:cs="Arial"/>
          <w:sz w:val="10"/>
          <w:szCs w:val="10"/>
        </w:rPr>
      </w:pPr>
    </w:p>
    <w:p w:rsidR="008A7CB4" w:rsidRPr="00D85D85" w:rsidRDefault="008A7CB4" w:rsidP="008A7CB4">
      <w:pPr>
        <w:rPr>
          <w:rFonts w:cs="Arial"/>
          <w:szCs w:val="18"/>
        </w:rPr>
      </w:pPr>
      <w:r w:rsidRPr="00D85D85">
        <w:rPr>
          <w:rFonts w:cs="Arial"/>
          <w:szCs w:val="18"/>
        </w:rPr>
        <w:t>Le seuil de tolérance est égal au coût prévisionnel définitif des travaux arrêtés à l’Avant-projet majoré du produit de ce coût par le taux de tolérance fixé ci-dessus.</w:t>
      </w:r>
    </w:p>
    <w:p w:rsidR="008A7CB4" w:rsidRPr="00DA780F" w:rsidRDefault="008A7CB4" w:rsidP="008A7CB4">
      <w:pPr>
        <w:rPr>
          <w:rFonts w:cs="Arial"/>
          <w:color w:val="C00000"/>
          <w:sz w:val="10"/>
          <w:szCs w:val="10"/>
        </w:rPr>
      </w:pPr>
    </w:p>
    <w:p w:rsidR="008A7CB4" w:rsidRPr="00D85D85" w:rsidRDefault="008A7CB4" w:rsidP="008A7CB4">
      <w:pPr>
        <w:rPr>
          <w:rFonts w:cs="Arial"/>
          <w:szCs w:val="18"/>
        </w:rPr>
      </w:pPr>
      <w:r w:rsidRPr="00D85D85">
        <w:rPr>
          <w:rFonts w:cs="Arial"/>
          <w:szCs w:val="18"/>
        </w:rPr>
        <w:t>L’avancement des études permet au maître d’œuvre lors de l’établissement des prestations de chaque élément de vérifier que le projet s’inscrit dans le respect de son engagement sur le coût prévisionnel des travaux.</w:t>
      </w:r>
    </w:p>
    <w:p w:rsidR="008A7CB4" w:rsidRPr="00E926EB" w:rsidRDefault="008A7CB4" w:rsidP="008A7CB4">
      <w:pPr>
        <w:rPr>
          <w:rFonts w:cs="Arial"/>
          <w:sz w:val="10"/>
          <w:szCs w:val="10"/>
        </w:rPr>
      </w:pPr>
    </w:p>
    <w:p w:rsidR="008A7CB4" w:rsidRPr="00A00037" w:rsidRDefault="008A7CB4" w:rsidP="008A7CB4">
      <w:pPr>
        <w:autoSpaceDE w:val="0"/>
        <w:autoSpaceDN w:val="0"/>
        <w:adjustRightInd w:val="0"/>
        <w:rPr>
          <w:rFonts w:cs="Arial Narrow"/>
          <w:szCs w:val="18"/>
        </w:rPr>
      </w:pPr>
      <w:r w:rsidRPr="00D85D85">
        <w:rPr>
          <w:rFonts w:cs="Arial"/>
          <w:szCs w:val="18"/>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w:t>
      </w:r>
      <w:r>
        <w:rPr>
          <w:rFonts w:cs="Arial"/>
          <w:szCs w:val="18"/>
        </w:rPr>
        <w:t xml:space="preserve"> </w:t>
      </w:r>
      <w:r w:rsidRPr="007F7BD2">
        <w:rPr>
          <w:rFonts w:cs="Arial Narrow"/>
          <w:szCs w:val="18"/>
        </w:rPr>
        <w:t>si le maître d’ouvrage le lui demande. Cet engagement est valable en phase conception et en phase réalisation.</w:t>
      </w:r>
    </w:p>
    <w:p w:rsidR="008A7CB4" w:rsidRPr="00E926EB" w:rsidRDefault="008A7CB4" w:rsidP="008A7CB4">
      <w:pPr>
        <w:rPr>
          <w:rFonts w:cs="Verdana"/>
          <w:sz w:val="10"/>
          <w:szCs w:val="10"/>
        </w:rPr>
      </w:pPr>
    </w:p>
    <w:p w:rsidR="008A7CB4" w:rsidRDefault="008A7CB4" w:rsidP="008A7CB4">
      <w:pPr>
        <w:rPr>
          <w:rFonts w:cs="Verdana"/>
          <w:szCs w:val="18"/>
        </w:rPr>
      </w:pPr>
      <w:r>
        <w:rPr>
          <w:rFonts w:cs="Verdana"/>
          <w:szCs w:val="18"/>
        </w:rPr>
        <w:t>Le forfait de rémunération définitive tient compte du seuil de tolérance.</w:t>
      </w:r>
    </w:p>
    <w:p w:rsidR="008A7CB4" w:rsidRPr="00265B2D" w:rsidRDefault="008A7CB4" w:rsidP="008A7CB4">
      <w:pPr>
        <w:rPr>
          <w:rFonts w:cs="Arial"/>
          <w:sz w:val="10"/>
          <w:szCs w:val="10"/>
        </w:rPr>
      </w:pPr>
    </w:p>
    <w:p w:rsidR="008A7CB4" w:rsidRPr="00D85D85" w:rsidRDefault="008A7CB4" w:rsidP="008A7CB4">
      <w:pPr>
        <w:rPr>
          <w:rFonts w:cs="Arial"/>
          <w:szCs w:val="18"/>
        </w:rPr>
      </w:pPr>
      <w:r w:rsidRPr="00D85D85">
        <w:rPr>
          <w:rFonts w:cs="Arial"/>
          <w:szCs w:val="18"/>
        </w:rPr>
        <w:t>Dans sa décision sur chaque dossier remis en phase études, le maître d'ouvrage précise :</w:t>
      </w:r>
    </w:p>
    <w:p w:rsidR="008A7CB4" w:rsidRPr="00D85D85" w:rsidRDefault="008A7CB4" w:rsidP="008F2B6A">
      <w:pPr>
        <w:numPr>
          <w:ilvl w:val="1"/>
          <w:numId w:val="10"/>
        </w:numPr>
        <w:ind w:left="851"/>
        <w:rPr>
          <w:rFonts w:cs="Arial"/>
          <w:szCs w:val="18"/>
        </w:rPr>
      </w:pPr>
      <w:r w:rsidRPr="00D85D85">
        <w:rPr>
          <w:rFonts w:cs="Arial"/>
          <w:szCs w:val="18"/>
        </w:rPr>
        <w:t>S’il accepte le montant de l’estimation donnée par le Maître d’œuvre</w:t>
      </w:r>
    </w:p>
    <w:p w:rsidR="008A7CB4" w:rsidRPr="00D85D85" w:rsidRDefault="008A7CB4" w:rsidP="008F2B6A">
      <w:pPr>
        <w:numPr>
          <w:ilvl w:val="1"/>
          <w:numId w:val="10"/>
        </w:numPr>
        <w:ind w:left="851"/>
        <w:rPr>
          <w:rFonts w:cs="Arial"/>
          <w:szCs w:val="18"/>
        </w:rPr>
      </w:pPr>
      <w:r w:rsidRPr="00D85D85">
        <w:rPr>
          <w:rFonts w:cs="Arial"/>
          <w:szCs w:val="18"/>
        </w:rPr>
        <w:t>Ou s'il le refuse.</w:t>
      </w:r>
    </w:p>
    <w:p w:rsidR="008A7CB4" w:rsidRPr="00E926EB" w:rsidRDefault="008A7CB4" w:rsidP="008A7CB4">
      <w:pPr>
        <w:rPr>
          <w:rFonts w:cs="Arial"/>
          <w:sz w:val="10"/>
          <w:szCs w:val="10"/>
        </w:rPr>
      </w:pPr>
    </w:p>
    <w:p w:rsidR="00265B2D" w:rsidRDefault="008A7CB4" w:rsidP="00191DD4">
      <w:pPr>
        <w:rPr>
          <w:rFonts w:cs="Arial"/>
          <w:szCs w:val="18"/>
        </w:rPr>
      </w:pPr>
      <w:r w:rsidRPr="00D85D85">
        <w:rPr>
          <w:rFonts w:cs="Arial"/>
          <w:szCs w:val="18"/>
        </w:rPr>
        <w:t xml:space="preserve">Dans ce dernier cas, et si le refus est motivé par le dépassement du coût prévisionnel des travaux, la décision est obligatoirement une décision d'ajournement suivant </w:t>
      </w:r>
      <w:r>
        <w:rPr>
          <w:rFonts w:cs="Arial"/>
          <w:szCs w:val="18"/>
        </w:rPr>
        <w:t>le CCAG MOE</w:t>
      </w:r>
      <w:r w:rsidRPr="00D85D85">
        <w:rPr>
          <w:rFonts w:cs="Arial"/>
          <w:szCs w:val="18"/>
        </w:rPr>
        <w:t>, article 2</w:t>
      </w:r>
      <w:r>
        <w:rPr>
          <w:rFonts w:cs="Arial"/>
          <w:szCs w:val="18"/>
        </w:rPr>
        <w:t>9</w:t>
      </w:r>
      <w:r w:rsidRPr="00D85D85">
        <w:rPr>
          <w:rFonts w:cs="Arial"/>
          <w:szCs w:val="18"/>
        </w:rPr>
        <w:t>.2 et le Maître d'œuvre dispose d'un délai de 15 (quinze) jours pour présenter au maître d'ouvrage une nouvelle proposition, y compris dossier modifié en conséquence.</w:t>
      </w:r>
    </w:p>
    <w:p w:rsidR="00DA780F" w:rsidRDefault="00DA780F" w:rsidP="00191DD4">
      <w:pPr>
        <w:rPr>
          <w:rFonts w:cs="Arial"/>
          <w:szCs w:val="18"/>
        </w:rPr>
      </w:pPr>
    </w:p>
    <w:p w:rsidR="00DA780F" w:rsidRDefault="00DA780F" w:rsidP="00191DD4">
      <w:pPr>
        <w:rPr>
          <w:rFonts w:cs="Arial"/>
          <w:szCs w:val="18"/>
        </w:rPr>
      </w:pPr>
    </w:p>
    <w:p w:rsidR="007F2DE4" w:rsidRDefault="007F2DE4" w:rsidP="00191DD4">
      <w:pPr>
        <w:rPr>
          <w:rFonts w:cs="Arial"/>
          <w:szCs w:val="18"/>
        </w:rPr>
      </w:pPr>
    </w:p>
    <w:p w:rsidR="007F2DE4" w:rsidRPr="00004270" w:rsidRDefault="007F2DE4" w:rsidP="007F2DE4">
      <w:pPr>
        <w:ind w:firstLine="708"/>
        <w:rPr>
          <w:i/>
          <w:u w:val="single"/>
        </w:rPr>
      </w:pPr>
      <w:bookmarkStart w:id="185" w:name="_Toc421087722"/>
      <w:bookmarkStart w:id="186" w:name="_Toc465261457"/>
      <w:bookmarkStart w:id="187" w:name="_Toc133586068"/>
      <w:bookmarkStart w:id="188" w:name="_Toc133586564"/>
      <w:bookmarkStart w:id="189" w:name="_Toc133586643"/>
      <w:bookmarkStart w:id="190" w:name="_Toc133586811"/>
      <w:r w:rsidRPr="00004270">
        <w:rPr>
          <w:i/>
          <w:u w:val="single"/>
        </w:rPr>
        <w:t>10.1.7 Coût de référence des travaux</w:t>
      </w:r>
      <w:bookmarkEnd w:id="185"/>
      <w:bookmarkEnd w:id="186"/>
      <w:bookmarkEnd w:id="187"/>
      <w:bookmarkEnd w:id="188"/>
      <w:bookmarkEnd w:id="189"/>
      <w:bookmarkEnd w:id="190"/>
    </w:p>
    <w:p w:rsidR="007F2DE4" w:rsidRPr="005A7971" w:rsidRDefault="007F2DE4" w:rsidP="007F2DE4">
      <w:pPr>
        <w:rPr>
          <w:rFonts w:cs="Arial"/>
          <w:color w:val="C00000"/>
          <w:szCs w:val="18"/>
        </w:rPr>
      </w:pPr>
      <w:r w:rsidRPr="00D85D85">
        <w:rPr>
          <w:rFonts w:cs="Arial"/>
          <w:szCs w:val="18"/>
        </w:rPr>
        <w:t>Lorsque le Maître d’ouvrage dispose des résultats relatifs à la passation des marchés de travaux, il établit le coût de référence des travaux tel qu’il résulte de la consultation</w:t>
      </w:r>
      <w:r w:rsidRPr="005A7971">
        <w:rPr>
          <w:rFonts w:cs="Arial"/>
          <w:color w:val="C00000"/>
          <w:szCs w:val="18"/>
        </w:rPr>
        <w:t>.</w:t>
      </w:r>
    </w:p>
    <w:p w:rsidR="007F2DE4" w:rsidRPr="00E926EB" w:rsidRDefault="007F2DE4" w:rsidP="007F2DE4">
      <w:pPr>
        <w:rPr>
          <w:rFonts w:cs="Arial"/>
          <w:color w:val="C00000"/>
          <w:sz w:val="10"/>
          <w:szCs w:val="10"/>
        </w:rPr>
      </w:pPr>
    </w:p>
    <w:p w:rsidR="007F2DE4" w:rsidRPr="00D85D85" w:rsidRDefault="007F2DE4" w:rsidP="007F2DE4">
      <w:pPr>
        <w:rPr>
          <w:rFonts w:cs="Arial"/>
          <w:szCs w:val="18"/>
        </w:rPr>
      </w:pPr>
      <w:r w:rsidRPr="00D85D85">
        <w:rPr>
          <w:rFonts w:cs="Arial"/>
          <w:szCs w:val="18"/>
        </w:rPr>
        <w:t xml:space="preserve">Le coût de référence des travaux est égal à la somme actualisée des coûts retenus dans le cadre des marchés de travaux concourant à la réalisation du projet. </w:t>
      </w:r>
    </w:p>
    <w:p w:rsidR="007F2DE4" w:rsidRPr="00265B2D" w:rsidRDefault="007F2DE4" w:rsidP="007F2DE4">
      <w:pPr>
        <w:rPr>
          <w:rFonts w:cs="Arial"/>
          <w:sz w:val="10"/>
          <w:szCs w:val="10"/>
        </w:rPr>
      </w:pPr>
    </w:p>
    <w:p w:rsidR="007F2DE4" w:rsidRPr="00D85D85" w:rsidRDefault="007F2DE4" w:rsidP="007F2DE4">
      <w:pPr>
        <w:rPr>
          <w:rFonts w:cs="Arial"/>
          <w:szCs w:val="18"/>
        </w:rPr>
      </w:pPr>
      <w:r w:rsidRPr="00D85D85">
        <w:rPr>
          <w:rFonts w:cs="Arial"/>
          <w:szCs w:val="18"/>
        </w:rPr>
        <w:t xml:space="preserve">Le coefficient d’actualisation est égal au rapport de la valeur de l’index correspondant à la nature des travaux </w:t>
      </w:r>
      <w:r w:rsidRPr="00D85D85">
        <w:rPr>
          <w:rFonts w:cs="Arial"/>
          <w:b/>
          <w:szCs w:val="18"/>
        </w:rPr>
        <w:t>(BT 01)</w:t>
      </w:r>
      <w:r w:rsidRPr="00D85D85">
        <w:rPr>
          <w:rFonts w:cs="Arial"/>
          <w:szCs w:val="18"/>
        </w:rPr>
        <w:t xml:space="preserve"> du mois m</w:t>
      </w:r>
      <w:r w:rsidRPr="00D85D85">
        <w:rPr>
          <w:rFonts w:cs="Arial"/>
          <w:szCs w:val="18"/>
          <w:vertAlign w:val="subscript"/>
        </w:rPr>
        <w:t>o</w:t>
      </w:r>
      <w:r w:rsidRPr="00D85D85">
        <w:rPr>
          <w:rFonts w:cs="Arial"/>
          <w:szCs w:val="18"/>
        </w:rPr>
        <w:t xml:space="preserve"> figurant au marché de maîtrise d’œuvre à la valeur de ce même index du mois m</w:t>
      </w:r>
      <w:r w:rsidRPr="00D85D85">
        <w:rPr>
          <w:rFonts w:cs="Arial"/>
          <w:szCs w:val="18"/>
          <w:vertAlign w:val="subscript"/>
        </w:rPr>
        <w:t xml:space="preserve">o </w:t>
      </w:r>
      <w:r w:rsidRPr="00D85D85">
        <w:rPr>
          <w:rFonts w:cs="Arial"/>
          <w:szCs w:val="18"/>
        </w:rPr>
        <w:t>des offres travaux ci-dessus (ou de la dernière valeur connue de l’index si celles du mois m</w:t>
      </w:r>
      <w:r w:rsidRPr="00D85D85">
        <w:rPr>
          <w:rFonts w:cs="Arial"/>
          <w:szCs w:val="18"/>
          <w:vertAlign w:val="subscript"/>
        </w:rPr>
        <w:t>o</w:t>
      </w:r>
      <w:r w:rsidRPr="00D85D85">
        <w:rPr>
          <w:rFonts w:cs="Arial"/>
          <w:szCs w:val="18"/>
        </w:rPr>
        <w:t xml:space="preserve"> n’est pas encore publiée). Le coefficient d’actualisation est arrondi au millième supérieur.</w:t>
      </w:r>
    </w:p>
    <w:p w:rsidR="007F2DE4" w:rsidRPr="007B1074" w:rsidRDefault="007F2DE4" w:rsidP="007F2DE4">
      <w:pPr>
        <w:rPr>
          <w:rFonts w:cs="Arial"/>
          <w:sz w:val="10"/>
          <w:szCs w:val="10"/>
        </w:rPr>
      </w:pPr>
    </w:p>
    <w:p w:rsidR="007F2DE4" w:rsidRPr="00D85D85" w:rsidRDefault="007F2DE4" w:rsidP="007F2DE4">
      <w:pPr>
        <w:rPr>
          <w:rFonts w:cs="Arial"/>
          <w:szCs w:val="18"/>
        </w:rPr>
      </w:pPr>
      <w:r w:rsidRPr="00D85D85">
        <w:rPr>
          <w:rFonts w:cs="Arial"/>
          <w:szCs w:val="18"/>
        </w:rPr>
        <w:t>Si le coût de référence est supérieur au seuil de tolérance, le Maître d’ouvrage peut demander l’adaptation des études. Le Maître d’œuvre a l’obligation de les adapter, conformément au programme initial et sans que cela n’ouvre droit à aucune rémunération complémentaire, pour aboutir à un nouveau dossier de consultation des entreprises devant conduire à une offre respectant le seuil de tolérance.</w:t>
      </w:r>
    </w:p>
    <w:p w:rsidR="007F2DE4" w:rsidRPr="007B1074" w:rsidRDefault="007F2DE4" w:rsidP="007F2DE4">
      <w:pPr>
        <w:rPr>
          <w:rFonts w:cs="Arial"/>
          <w:sz w:val="10"/>
          <w:szCs w:val="10"/>
        </w:rPr>
      </w:pPr>
    </w:p>
    <w:p w:rsidR="007F2DE4" w:rsidRPr="00D85D85" w:rsidRDefault="007F2DE4" w:rsidP="007F2DE4">
      <w:pPr>
        <w:rPr>
          <w:rFonts w:cs="Arial"/>
          <w:szCs w:val="18"/>
        </w:rPr>
      </w:pPr>
      <w:r w:rsidRPr="00D85D85">
        <w:rPr>
          <w:rFonts w:cs="Arial"/>
          <w:szCs w:val="18"/>
        </w:rPr>
        <w:t>Le Maître d’œuvre fait des propositions dans ce sens au Maître d’ouvrage, sous la forme d’une notice exposant dans leur principe les modifications suggérées, dans un délai de quinze jours (2 semaines) suivant la demande.</w:t>
      </w:r>
    </w:p>
    <w:p w:rsidR="007F2DE4" w:rsidRPr="007B1074" w:rsidRDefault="007F2DE4" w:rsidP="007F2DE4">
      <w:pPr>
        <w:rPr>
          <w:rFonts w:cs="Arial"/>
          <w:sz w:val="10"/>
          <w:szCs w:val="10"/>
        </w:rPr>
      </w:pPr>
    </w:p>
    <w:p w:rsidR="007F2DE4" w:rsidRPr="00D85D85" w:rsidRDefault="007F2DE4" w:rsidP="007F2DE4">
      <w:pPr>
        <w:rPr>
          <w:rFonts w:cs="Arial"/>
          <w:szCs w:val="18"/>
        </w:rPr>
      </w:pPr>
      <w:r w:rsidRPr="00D85D85">
        <w:rPr>
          <w:rFonts w:cs="Arial"/>
          <w:szCs w:val="18"/>
        </w:rPr>
        <w:t>Sur la base de cette nouvelle étude et après acceptation par le Maître d’ouvrage, le Maître d’œuvre doit établir un nouveau dossier de consultation des entreprises dans un délai de 8 jours à compter de l’accusé de réception de cette acceptation afin de permettre au maître de l’ouvrage de lancer une nouvelle procédure de dévolution des travaux.</w:t>
      </w:r>
    </w:p>
    <w:p w:rsidR="007F2DE4" w:rsidRPr="007B1074" w:rsidRDefault="007F2DE4" w:rsidP="007F2DE4">
      <w:pPr>
        <w:rPr>
          <w:rFonts w:cs="Arial"/>
          <w:sz w:val="10"/>
          <w:szCs w:val="10"/>
        </w:rPr>
      </w:pPr>
    </w:p>
    <w:p w:rsidR="007F2DE4" w:rsidRPr="00D85D85" w:rsidRDefault="007F2DE4" w:rsidP="007F2DE4">
      <w:pPr>
        <w:rPr>
          <w:rFonts w:cs="Arial"/>
          <w:szCs w:val="18"/>
        </w:rPr>
      </w:pPr>
      <w:r w:rsidRPr="00D85D85">
        <w:rPr>
          <w:rFonts w:cs="Arial"/>
          <w:szCs w:val="18"/>
        </w:rPr>
        <w:t>Si le nouveau coût de référence est encore supérieur au seuil de tolérance, le Maître d'ouvrage, par décision, peut :</w:t>
      </w:r>
    </w:p>
    <w:p w:rsidR="007F2DE4" w:rsidRPr="00D85D85" w:rsidRDefault="007F2DE4" w:rsidP="008F2B6A">
      <w:pPr>
        <w:numPr>
          <w:ilvl w:val="0"/>
          <w:numId w:val="11"/>
        </w:numPr>
        <w:ind w:left="851"/>
        <w:rPr>
          <w:rFonts w:cs="Arial"/>
          <w:szCs w:val="18"/>
        </w:rPr>
      </w:pPr>
      <w:r w:rsidRPr="00D85D85">
        <w:rPr>
          <w:rFonts w:cs="Arial"/>
          <w:szCs w:val="18"/>
        </w:rPr>
        <w:t xml:space="preserve">Soit résilier le marché de maîtrise d'œuvre sans « indemnité ». Par dérogation à l’article </w:t>
      </w:r>
      <w:r>
        <w:rPr>
          <w:rFonts w:cs="Arial"/>
          <w:szCs w:val="18"/>
        </w:rPr>
        <w:t>41</w:t>
      </w:r>
      <w:r w:rsidRPr="00D85D85">
        <w:rPr>
          <w:rFonts w:cs="Arial"/>
          <w:szCs w:val="18"/>
        </w:rPr>
        <w:t xml:space="preserve"> du </w:t>
      </w:r>
      <w:r>
        <w:rPr>
          <w:rFonts w:cs="Arial"/>
          <w:szCs w:val="18"/>
        </w:rPr>
        <w:t>CCAG MOE</w:t>
      </w:r>
      <w:r w:rsidRPr="00D85D85">
        <w:rPr>
          <w:rFonts w:cs="Arial"/>
          <w:szCs w:val="18"/>
        </w:rPr>
        <w:t>, le décompte de résiliation ne comprend donc « au crédit du titulaire » aucune des dépenses prévues au</w:t>
      </w:r>
      <w:r>
        <w:rPr>
          <w:rFonts w:cs="Arial"/>
          <w:szCs w:val="18"/>
        </w:rPr>
        <w:t>x articles</w:t>
      </w:r>
      <w:r w:rsidRPr="00D85D85">
        <w:rPr>
          <w:rFonts w:cs="Arial"/>
          <w:szCs w:val="18"/>
        </w:rPr>
        <w:t xml:space="preserve"> </w:t>
      </w:r>
      <w:r>
        <w:rPr>
          <w:rFonts w:cs="Arial"/>
          <w:szCs w:val="18"/>
        </w:rPr>
        <w:t>41</w:t>
      </w:r>
      <w:r w:rsidRPr="00D85D85">
        <w:rPr>
          <w:rFonts w:cs="Arial"/>
          <w:szCs w:val="18"/>
        </w:rPr>
        <w:t xml:space="preserve">.2.2.2, </w:t>
      </w:r>
      <w:r>
        <w:rPr>
          <w:rFonts w:cs="Arial"/>
          <w:szCs w:val="18"/>
        </w:rPr>
        <w:t>41</w:t>
      </w:r>
      <w:r w:rsidRPr="00D85D85">
        <w:rPr>
          <w:rFonts w:cs="Arial"/>
          <w:szCs w:val="18"/>
        </w:rPr>
        <w:t xml:space="preserve">.2.2.3 et </w:t>
      </w:r>
      <w:r>
        <w:rPr>
          <w:rFonts w:cs="Arial"/>
          <w:szCs w:val="18"/>
        </w:rPr>
        <w:t>41</w:t>
      </w:r>
      <w:r w:rsidRPr="00D85D85">
        <w:rPr>
          <w:rFonts w:cs="Arial"/>
          <w:szCs w:val="18"/>
        </w:rPr>
        <w:t xml:space="preserve">.2.2.5 du </w:t>
      </w:r>
      <w:r>
        <w:rPr>
          <w:rFonts w:cs="Arial"/>
          <w:szCs w:val="18"/>
        </w:rPr>
        <w:t>CCAG MOE</w:t>
      </w:r>
      <w:r w:rsidRPr="00D85D85">
        <w:rPr>
          <w:rFonts w:cs="Arial"/>
          <w:szCs w:val="18"/>
        </w:rPr>
        <w:t>.</w:t>
      </w:r>
    </w:p>
    <w:p w:rsidR="007F2DE4" w:rsidRDefault="007F2DE4" w:rsidP="008F2B6A">
      <w:pPr>
        <w:numPr>
          <w:ilvl w:val="0"/>
          <w:numId w:val="11"/>
        </w:numPr>
        <w:ind w:left="851"/>
        <w:rPr>
          <w:rFonts w:cs="Arial"/>
          <w:szCs w:val="18"/>
        </w:rPr>
      </w:pPr>
      <w:r w:rsidRPr="00D85D85">
        <w:rPr>
          <w:rFonts w:cs="Arial"/>
          <w:szCs w:val="18"/>
        </w:rPr>
        <w:t xml:space="preserve">Soit faire exécuter la prestation aux frais et risque du titulaire suivant </w:t>
      </w:r>
      <w:r>
        <w:rPr>
          <w:rFonts w:cs="Arial"/>
          <w:szCs w:val="18"/>
        </w:rPr>
        <w:t>l’</w:t>
      </w:r>
      <w:r w:rsidRPr="00D85D85">
        <w:rPr>
          <w:rFonts w:cs="Arial"/>
          <w:szCs w:val="18"/>
        </w:rPr>
        <w:t xml:space="preserve">article </w:t>
      </w:r>
      <w:r>
        <w:rPr>
          <w:rFonts w:cs="Arial"/>
          <w:szCs w:val="18"/>
        </w:rPr>
        <w:t>27</w:t>
      </w:r>
      <w:r w:rsidRPr="00D85D85">
        <w:rPr>
          <w:rFonts w:cs="Arial"/>
          <w:szCs w:val="18"/>
        </w:rPr>
        <w:t xml:space="preserve"> du </w:t>
      </w:r>
      <w:r>
        <w:rPr>
          <w:rFonts w:cs="Arial"/>
          <w:szCs w:val="18"/>
        </w:rPr>
        <w:t>CCAG MOE</w:t>
      </w:r>
      <w:r w:rsidRPr="00D85D85">
        <w:rPr>
          <w:rFonts w:cs="Arial"/>
          <w:szCs w:val="18"/>
        </w:rPr>
        <w:t>.</w:t>
      </w:r>
    </w:p>
    <w:p w:rsidR="007F2DE4" w:rsidRPr="00D85D85" w:rsidRDefault="007F2DE4" w:rsidP="007F2DE4">
      <w:pPr>
        <w:ind w:left="851"/>
        <w:rPr>
          <w:rFonts w:cs="Arial"/>
          <w:szCs w:val="18"/>
        </w:rPr>
      </w:pPr>
    </w:p>
    <w:p w:rsidR="007F2DE4" w:rsidRPr="003F015F" w:rsidRDefault="007F2DE4" w:rsidP="007F2DE4">
      <w:pPr>
        <w:ind w:firstLine="709"/>
        <w:rPr>
          <w:i/>
          <w:u w:val="single"/>
        </w:rPr>
      </w:pPr>
      <w:bookmarkStart w:id="191" w:name="_Toc421087723"/>
      <w:bookmarkStart w:id="192" w:name="_Toc465261458"/>
      <w:bookmarkStart w:id="193" w:name="_Toc133586069"/>
      <w:bookmarkStart w:id="194" w:name="_Toc133586565"/>
      <w:bookmarkStart w:id="195" w:name="_Toc133586644"/>
      <w:bookmarkStart w:id="196" w:name="_Toc133586812"/>
      <w:r w:rsidRPr="003F015F">
        <w:rPr>
          <w:i/>
          <w:u w:val="single"/>
        </w:rPr>
        <w:t>10.1.8 Coût de réalisation des travaux</w:t>
      </w:r>
      <w:bookmarkEnd w:id="191"/>
      <w:bookmarkEnd w:id="192"/>
      <w:bookmarkEnd w:id="193"/>
      <w:bookmarkEnd w:id="194"/>
      <w:bookmarkEnd w:id="195"/>
      <w:bookmarkEnd w:id="196"/>
    </w:p>
    <w:p w:rsidR="007F2DE4" w:rsidRPr="00D85D85" w:rsidRDefault="007F2DE4" w:rsidP="007F2DE4">
      <w:pPr>
        <w:rPr>
          <w:rFonts w:cs="Arial"/>
          <w:szCs w:val="18"/>
        </w:rPr>
      </w:pPr>
      <w:r w:rsidRPr="00D85D85">
        <w:rPr>
          <w:rFonts w:cs="Arial"/>
          <w:szCs w:val="18"/>
        </w:rPr>
        <w:t xml:space="preserve">Le coût de réalisation des travaux est le coût qui résulte des contrats de travaux passés par le Maître d’ouvrage pour la réalisation du projet. Il est égal à la somme des montants initiaux des marchés de travaux. </w:t>
      </w:r>
    </w:p>
    <w:p w:rsidR="007F2DE4" w:rsidRPr="00D85D85" w:rsidRDefault="007F2DE4" w:rsidP="007F2DE4">
      <w:pPr>
        <w:rPr>
          <w:rFonts w:cs="Arial"/>
          <w:szCs w:val="18"/>
        </w:rPr>
      </w:pPr>
      <w:r w:rsidRPr="00D85D85">
        <w:rPr>
          <w:rFonts w:cs="Arial"/>
          <w:szCs w:val="18"/>
        </w:rPr>
        <w:t>Le coût de réalisation est notifié par le Maître d’ouvrage au Maître d’œuvre. Le Maître d’œuvre s’engage à le respecter.</w:t>
      </w:r>
    </w:p>
    <w:p w:rsidR="007F2DE4" w:rsidRDefault="007F2DE4" w:rsidP="007F2DE4">
      <w:pPr>
        <w:rPr>
          <w:rFonts w:cs="Arial"/>
          <w:szCs w:val="18"/>
        </w:rPr>
      </w:pPr>
      <w:r w:rsidRPr="00D85D85">
        <w:rPr>
          <w:rFonts w:cs="Arial"/>
          <w:szCs w:val="18"/>
        </w:rPr>
        <w:t>Le Maître d’œuvre est réputé avoir prévu, dans le document ayant servi de base à la consultation des entreprises, tous les travaux nécessaires à la réalisation du programme et du projet.</w:t>
      </w:r>
    </w:p>
    <w:p w:rsidR="007F2DE4" w:rsidRPr="00D85D85" w:rsidRDefault="007F2DE4" w:rsidP="007F2DE4">
      <w:pPr>
        <w:rPr>
          <w:rFonts w:cs="Arial"/>
          <w:szCs w:val="18"/>
        </w:rPr>
      </w:pPr>
    </w:p>
    <w:p w:rsidR="007F2DE4" w:rsidRPr="003F015F" w:rsidRDefault="007F2DE4" w:rsidP="007F2DE4">
      <w:pPr>
        <w:ind w:firstLine="709"/>
        <w:rPr>
          <w:i/>
          <w:u w:val="single"/>
        </w:rPr>
      </w:pPr>
      <w:bookmarkStart w:id="197" w:name="_Toc421087724"/>
      <w:bookmarkStart w:id="198" w:name="_Toc465261459"/>
      <w:bookmarkStart w:id="199" w:name="_Toc133586070"/>
      <w:bookmarkStart w:id="200" w:name="_Toc133586566"/>
      <w:bookmarkStart w:id="201" w:name="_Toc133586645"/>
      <w:bookmarkStart w:id="202" w:name="_Toc133586813"/>
      <w:r w:rsidRPr="003F015F">
        <w:rPr>
          <w:i/>
          <w:u w:val="single"/>
        </w:rPr>
        <w:t>10.1.9 Conditions économiques d’établissement du coût de réalisation</w:t>
      </w:r>
      <w:bookmarkEnd w:id="197"/>
      <w:bookmarkEnd w:id="198"/>
      <w:bookmarkEnd w:id="199"/>
      <w:bookmarkEnd w:id="200"/>
      <w:bookmarkEnd w:id="201"/>
      <w:bookmarkEnd w:id="202"/>
    </w:p>
    <w:p w:rsidR="007F2DE4" w:rsidRDefault="007F2DE4" w:rsidP="007F2DE4">
      <w:pPr>
        <w:rPr>
          <w:rFonts w:cs="Arial"/>
          <w:szCs w:val="18"/>
        </w:rPr>
      </w:pPr>
      <w:r w:rsidRPr="00D85D85">
        <w:rPr>
          <w:rFonts w:cs="Arial"/>
          <w:szCs w:val="18"/>
        </w:rPr>
        <w:t>Le coût de réalisation est réputé établi sur la base des conditions économiques du mois mo correspondant au mois de remise de l’(ou des) offre(s) ayant permis la passation du (ou des) contrat(s) de travaux.</w:t>
      </w:r>
    </w:p>
    <w:p w:rsidR="007F2DE4" w:rsidRPr="00D85D85" w:rsidRDefault="007F2DE4" w:rsidP="007F2DE4">
      <w:pPr>
        <w:rPr>
          <w:rFonts w:cs="Arial"/>
          <w:szCs w:val="18"/>
        </w:rPr>
      </w:pPr>
    </w:p>
    <w:p w:rsidR="007F2DE4" w:rsidRPr="003F015F" w:rsidRDefault="007F2DE4" w:rsidP="007F2DE4">
      <w:pPr>
        <w:ind w:firstLine="708"/>
        <w:rPr>
          <w:i/>
          <w:u w:val="single"/>
        </w:rPr>
      </w:pPr>
      <w:bookmarkStart w:id="203" w:name="_Toc421087725"/>
      <w:bookmarkStart w:id="204" w:name="_Toc465261460"/>
      <w:bookmarkStart w:id="205" w:name="_Toc133586071"/>
      <w:bookmarkStart w:id="206" w:name="_Toc133586567"/>
      <w:bookmarkStart w:id="207" w:name="_Toc133586646"/>
      <w:bookmarkStart w:id="208" w:name="_Toc133586814"/>
      <w:r w:rsidRPr="003F015F">
        <w:rPr>
          <w:i/>
          <w:u w:val="single"/>
        </w:rPr>
        <w:t>10.1.10 Tolérance sur le coût de réalisation des travaux</w:t>
      </w:r>
      <w:bookmarkEnd w:id="203"/>
      <w:bookmarkEnd w:id="204"/>
      <w:bookmarkEnd w:id="205"/>
      <w:bookmarkEnd w:id="206"/>
      <w:bookmarkEnd w:id="207"/>
      <w:bookmarkEnd w:id="208"/>
    </w:p>
    <w:p w:rsidR="007F2DE4" w:rsidRPr="00D85D85" w:rsidRDefault="007F2DE4" w:rsidP="007F2DE4">
      <w:pPr>
        <w:rPr>
          <w:rFonts w:cs="Arial"/>
          <w:szCs w:val="18"/>
        </w:rPr>
      </w:pPr>
      <w:r w:rsidRPr="00D85D85">
        <w:rPr>
          <w:rFonts w:cs="Arial"/>
          <w:szCs w:val="18"/>
        </w:rPr>
        <w:t>Le coût de réalisation des travaux est assorti d’un taux de tolérance.</w:t>
      </w:r>
    </w:p>
    <w:p w:rsidR="007F2DE4" w:rsidRPr="00D85D85" w:rsidRDefault="007F2DE4" w:rsidP="007F2DE4">
      <w:pPr>
        <w:rPr>
          <w:rFonts w:cs="Arial"/>
          <w:szCs w:val="18"/>
        </w:rPr>
      </w:pPr>
      <w:r w:rsidRPr="00D85D85">
        <w:rPr>
          <w:rFonts w:cs="Arial"/>
          <w:szCs w:val="18"/>
        </w:rPr>
        <w:t xml:space="preserve">Ce taux de tolérance est de </w:t>
      </w:r>
      <w:r w:rsidR="001E4A9D" w:rsidRPr="001E4A9D">
        <w:rPr>
          <w:rFonts w:cs="Arial"/>
          <w:b/>
          <w:szCs w:val="18"/>
        </w:rPr>
        <w:t>4</w:t>
      </w:r>
      <w:r w:rsidR="00207CF7">
        <w:rPr>
          <w:rFonts w:cs="Arial"/>
          <w:szCs w:val="18"/>
        </w:rPr>
        <w:t xml:space="preserve"> </w:t>
      </w:r>
      <w:r w:rsidRPr="00D85D85">
        <w:rPr>
          <w:rFonts w:cs="Arial"/>
          <w:b/>
          <w:szCs w:val="18"/>
        </w:rPr>
        <w:t xml:space="preserve">%. </w:t>
      </w:r>
    </w:p>
    <w:p w:rsidR="007F2DE4" w:rsidRDefault="007F2DE4" w:rsidP="007F2DE4">
      <w:pPr>
        <w:rPr>
          <w:rFonts w:cs="Arial"/>
          <w:szCs w:val="18"/>
        </w:rPr>
      </w:pPr>
      <w:r w:rsidRPr="00D85D85">
        <w:rPr>
          <w:rFonts w:cs="Arial"/>
          <w:szCs w:val="18"/>
        </w:rPr>
        <w:t>Le seuil de tolérance est égal au coût de réalisation des travaux majoré du produit de ce coût par le taux de tolérance indiqué ci-dessus.</w:t>
      </w:r>
    </w:p>
    <w:p w:rsidR="007F2DE4" w:rsidRPr="00D85D85" w:rsidRDefault="007F2DE4" w:rsidP="007F2DE4">
      <w:pPr>
        <w:rPr>
          <w:rFonts w:cs="Arial"/>
          <w:szCs w:val="18"/>
        </w:rPr>
      </w:pPr>
    </w:p>
    <w:p w:rsidR="007F2DE4" w:rsidRPr="003F015F" w:rsidRDefault="007F2DE4" w:rsidP="007F2DE4">
      <w:pPr>
        <w:ind w:firstLine="708"/>
        <w:rPr>
          <w:i/>
          <w:u w:val="single"/>
        </w:rPr>
      </w:pPr>
      <w:bookmarkStart w:id="209" w:name="_Toc421087726"/>
      <w:bookmarkStart w:id="210" w:name="_Toc465261461"/>
      <w:bookmarkStart w:id="211" w:name="_Toc133586072"/>
      <w:bookmarkStart w:id="212" w:name="_Toc133586568"/>
      <w:bookmarkStart w:id="213" w:name="_Toc133586647"/>
      <w:bookmarkStart w:id="214" w:name="_Toc133586815"/>
      <w:r w:rsidRPr="003F015F">
        <w:rPr>
          <w:i/>
          <w:u w:val="single"/>
        </w:rPr>
        <w:t>10.1.11 Comparaison entre les coûts réels des travaux et la tolérance</w:t>
      </w:r>
      <w:bookmarkEnd w:id="209"/>
      <w:bookmarkEnd w:id="210"/>
      <w:bookmarkEnd w:id="211"/>
      <w:bookmarkEnd w:id="212"/>
      <w:bookmarkEnd w:id="213"/>
      <w:bookmarkEnd w:id="214"/>
    </w:p>
    <w:p w:rsidR="007F2DE4" w:rsidRPr="00191DD4" w:rsidRDefault="007F2DE4" w:rsidP="00191DD4">
      <w:pPr>
        <w:rPr>
          <w:rFonts w:cs="Arial"/>
          <w:szCs w:val="18"/>
        </w:rPr>
      </w:pPr>
      <w:r w:rsidRPr="00D85D85">
        <w:rPr>
          <w:rFonts w:cs="Arial"/>
          <w:szCs w:val="18"/>
        </w:rPr>
        <w:t>Le coût constaté déterminé par le Maître de l’ouvrage après achèvement de l’ouvrage est le montant, en prix de base hors T.V.A, des travaux réellement exécutés dans le cadre des contrats, marchés, avenants, intervenus pour la réalisation de l’ouvrage.</w:t>
      </w:r>
    </w:p>
    <w:p w:rsidR="00604AFC" w:rsidRPr="008A7CB4" w:rsidRDefault="008A7CB4" w:rsidP="008A7CB4">
      <w:pPr>
        <w:pStyle w:val="Titre2"/>
      </w:pPr>
      <w:bookmarkStart w:id="215" w:name="_Toc536795903"/>
      <w:bookmarkStart w:id="216" w:name="_Toc119597410"/>
      <w:bookmarkStart w:id="217" w:name="_Toc148692620"/>
      <w:bookmarkStart w:id="218" w:name="_Toc374413865"/>
      <w:bookmarkStart w:id="219" w:name="_Toc392389634"/>
      <w:bookmarkEnd w:id="170"/>
      <w:bookmarkEnd w:id="173"/>
      <w:bookmarkEnd w:id="174"/>
      <w:bookmarkEnd w:id="175"/>
      <w:bookmarkEnd w:id="176"/>
      <w:r w:rsidRPr="008A7CB4">
        <w:t>10.2 Règlement des comptes du maître d’œuvre</w:t>
      </w:r>
      <w:bookmarkEnd w:id="215"/>
      <w:bookmarkEnd w:id="216"/>
      <w:bookmarkEnd w:id="217"/>
    </w:p>
    <w:bookmarkEnd w:id="218"/>
    <w:bookmarkEnd w:id="219"/>
    <w:p w:rsidR="00AA5407" w:rsidRDefault="00886730" w:rsidP="00F108DC">
      <w:pPr>
        <w:pStyle w:val="Txttitre1"/>
        <w:spacing w:before="0" w:line="240" w:lineRule="auto"/>
        <w:ind w:left="0"/>
        <w:rPr>
          <w:rFonts w:ascii="Verdana" w:hAnsi="Verdana" w:cs="Arial"/>
          <w:sz w:val="18"/>
          <w:szCs w:val="18"/>
        </w:rPr>
      </w:pPr>
      <w:r w:rsidRPr="00790C64">
        <w:rPr>
          <w:rFonts w:ascii="Verdana" w:hAnsi="Verdana" w:cs="Arial"/>
          <w:sz w:val="18"/>
          <w:szCs w:val="18"/>
        </w:rPr>
        <w:t xml:space="preserve">Toutes les dispositions </w:t>
      </w:r>
      <w:r w:rsidRPr="002F7873">
        <w:rPr>
          <w:rFonts w:ascii="Verdana" w:hAnsi="Verdana" w:cs="Arial"/>
          <w:sz w:val="18"/>
          <w:szCs w:val="18"/>
        </w:rPr>
        <w:t>de l’article 1</w:t>
      </w:r>
      <w:r w:rsidR="008C2F11" w:rsidRPr="002F7873">
        <w:rPr>
          <w:rFonts w:ascii="Verdana" w:hAnsi="Verdana" w:cs="Arial"/>
          <w:sz w:val="18"/>
          <w:szCs w:val="18"/>
        </w:rPr>
        <w:t>1</w:t>
      </w:r>
      <w:r w:rsidRPr="002F7873">
        <w:rPr>
          <w:rFonts w:ascii="Verdana" w:hAnsi="Verdana" w:cs="Arial"/>
          <w:sz w:val="18"/>
          <w:szCs w:val="18"/>
        </w:rPr>
        <w:t xml:space="preserve"> du CCAG</w:t>
      </w:r>
      <w:r w:rsidR="00E26B53">
        <w:rPr>
          <w:rFonts w:ascii="Verdana" w:hAnsi="Verdana" w:cs="Arial"/>
          <w:sz w:val="18"/>
          <w:szCs w:val="18"/>
        </w:rPr>
        <w:t xml:space="preserve"> MOE</w:t>
      </w:r>
      <w:r w:rsidRPr="002F7873">
        <w:rPr>
          <w:rFonts w:ascii="Verdana" w:hAnsi="Verdana" w:cs="Arial"/>
          <w:sz w:val="18"/>
          <w:szCs w:val="18"/>
        </w:rPr>
        <w:t xml:space="preserve"> non contredites par les dispositions figurant dans le présent C</w:t>
      </w:r>
      <w:r w:rsidR="00CA5850" w:rsidRPr="002F7873">
        <w:rPr>
          <w:rFonts w:ascii="Verdana" w:hAnsi="Verdana" w:cs="Arial"/>
          <w:sz w:val="18"/>
          <w:szCs w:val="18"/>
        </w:rPr>
        <w:t>.</w:t>
      </w:r>
      <w:r w:rsidRPr="002F7873">
        <w:rPr>
          <w:rFonts w:ascii="Verdana" w:hAnsi="Verdana" w:cs="Arial"/>
          <w:sz w:val="18"/>
          <w:szCs w:val="18"/>
        </w:rPr>
        <w:t>C</w:t>
      </w:r>
      <w:r w:rsidR="00CA5850" w:rsidRPr="002F7873">
        <w:rPr>
          <w:rFonts w:ascii="Verdana" w:hAnsi="Verdana" w:cs="Arial"/>
          <w:sz w:val="18"/>
          <w:szCs w:val="18"/>
        </w:rPr>
        <w:t>.</w:t>
      </w:r>
      <w:r w:rsidRPr="002F7873">
        <w:rPr>
          <w:rFonts w:ascii="Verdana" w:hAnsi="Verdana" w:cs="Arial"/>
          <w:sz w:val="18"/>
          <w:szCs w:val="18"/>
        </w:rPr>
        <w:t>A</w:t>
      </w:r>
      <w:r w:rsidR="00CA5850" w:rsidRPr="002F7873">
        <w:rPr>
          <w:rFonts w:ascii="Verdana" w:hAnsi="Verdana" w:cs="Arial"/>
          <w:sz w:val="18"/>
          <w:szCs w:val="18"/>
        </w:rPr>
        <w:t>.</w:t>
      </w:r>
      <w:r w:rsidRPr="002F7873">
        <w:rPr>
          <w:rFonts w:ascii="Verdana" w:hAnsi="Verdana" w:cs="Arial"/>
          <w:sz w:val="18"/>
          <w:szCs w:val="18"/>
        </w:rPr>
        <w:t>P sont applicables</w:t>
      </w:r>
      <w:r w:rsidR="008C2F11" w:rsidRPr="002F7873">
        <w:rPr>
          <w:rFonts w:ascii="Verdana" w:hAnsi="Verdana" w:cs="Arial"/>
          <w:sz w:val="18"/>
          <w:szCs w:val="18"/>
        </w:rPr>
        <w:t>.</w:t>
      </w:r>
      <w:bookmarkStart w:id="220" w:name="_Toc164160027"/>
    </w:p>
    <w:p w:rsidR="00C977F0" w:rsidRPr="00265B2D" w:rsidRDefault="00C977F0" w:rsidP="00F108DC">
      <w:pPr>
        <w:pStyle w:val="Txttitre1"/>
        <w:spacing w:before="0" w:line="240" w:lineRule="auto"/>
        <w:ind w:left="0"/>
        <w:rPr>
          <w:rFonts w:ascii="Verdana" w:hAnsi="Verdana" w:cs="Arial"/>
          <w:sz w:val="10"/>
          <w:szCs w:val="10"/>
        </w:rPr>
      </w:pPr>
    </w:p>
    <w:p w:rsidR="00191DD4" w:rsidRPr="002C1067" w:rsidRDefault="00191DD4" w:rsidP="00191DD4">
      <w:r>
        <w:rPr>
          <w:rFonts w:cs="Verdana"/>
          <w:szCs w:val="18"/>
        </w:rPr>
        <w:t xml:space="preserve">Le </w:t>
      </w:r>
      <w:r w:rsidRPr="002C1067">
        <w:rPr>
          <w:rFonts w:cs="Verdana"/>
          <w:szCs w:val="18"/>
        </w:rPr>
        <w:t>paiement s’effectuera sur présentation par le titulaire</w:t>
      </w:r>
      <w:r w:rsidRPr="002C1067">
        <w:rPr>
          <w:rFonts w:cs="Verdana"/>
          <w:szCs w:val="18"/>
          <w:u w:val="single"/>
        </w:rPr>
        <w:t xml:space="preserve"> de facture(s) </w:t>
      </w:r>
      <w:r w:rsidRPr="002C1067">
        <w:rPr>
          <w:rFonts w:cs="Verdana"/>
          <w:szCs w:val="18"/>
        </w:rPr>
        <w:t>relative(s) aux</w:t>
      </w:r>
      <w:r w:rsidRPr="002C1067">
        <w:rPr>
          <w:rFonts w:cs="Verdana"/>
          <w:szCs w:val="18"/>
          <w:u w:val="single"/>
        </w:rPr>
        <w:t xml:space="preserve"> prestations acceptées par l’université.</w:t>
      </w:r>
    </w:p>
    <w:p w:rsidR="00265B2D" w:rsidRPr="00265B2D" w:rsidRDefault="00265B2D" w:rsidP="00191DD4">
      <w:pPr>
        <w:rPr>
          <w:rFonts w:cs="Verdana"/>
          <w:sz w:val="10"/>
          <w:szCs w:val="10"/>
        </w:rPr>
      </w:pPr>
    </w:p>
    <w:p w:rsidR="00191DD4" w:rsidRPr="009B162C" w:rsidRDefault="00191DD4" w:rsidP="00191DD4">
      <w:pPr>
        <w:pStyle w:val="Txttitre2"/>
        <w:spacing w:before="0" w:line="240" w:lineRule="auto"/>
        <w:ind w:left="0"/>
        <w:rPr>
          <w:rFonts w:ascii="Verdana" w:hAnsi="Verdana" w:cs="Arial"/>
          <w:szCs w:val="18"/>
        </w:rPr>
      </w:pPr>
      <w:r w:rsidRPr="00790C64">
        <w:rPr>
          <w:rFonts w:ascii="Verdana" w:hAnsi="Verdana" w:cs="Arial"/>
          <w:szCs w:val="18"/>
        </w:rPr>
        <w:t xml:space="preserve">Le </w:t>
      </w:r>
      <w:r>
        <w:rPr>
          <w:rFonts w:ascii="Verdana" w:hAnsi="Verdana" w:cs="Arial"/>
          <w:szCs w:val="18"/>
        </w:rPr>
        <w:t>M</w:t>
      </w:r>
      <w:r w:rsidRPr="00790C64">
        <w:rPr>
          <w:rFonts w:ascii="Verdana" w:hAnsi="Verdana" w:cs="Arial"/>
          <w:szCs w:val="18"/>
        </w:rPr>
        <w:t xml:space="preserve">aître d’œuvre établit un projet de décompte à chacun des stades définis ci-après et le fait parvenir au maître d’ouvrage. En cas de groupement, le mandataire présente un </w:t>
      </w:r>
      <w:r w:rsidRPr="00414989">
        <w:rPr>
          <w:rFonts w:ascii="Verdana" w:hAnsi="Verdana" w:cs="Arial"/>
          <w:szCs w:val="18"/>
        </w:rPr>
        <w:t>projet de</w:t>
      </w:r>
      <w:r>
        <w:rPr>
          <w:rFonts w:ascii="Verdana" w:hAnsi="Verdana" w:cs="Arial"/>
          <w:szCs w:val="18"/>
        </w:rPr>
        <w:t xml:space="preserve"> </w:t>
      </w:r>
      <w:r w:rsidRPr="00790C64">
        <w:rPr>
          <w:rFonts w:ascii="Verdana" w:hAnsi="Verdana" w:cs="Arial"/>
          <w:szCs w:val="18"/>
        </w:rPr>
        <w:t>décompte pour l’ensemble du groupement, reprenant l’ensemble des factures des cotraitants ainsi qu’un récapitulatif général du décompte.</w:t>
      </w:r>
    </w:p>
    <w:p w:rsidR="00191DD4" w:rsidRPr="00265B2D" w:rsidRDefault="00191DD4" w:rsidP="00191DD4">
      <w:pPr>
        <w:rPr>
          <w:rFonts w:cs="Verdana"/>
          <w:b/>
          <w:sz w:val="10"/>
          <w:szCs w:val="10"/>
          <w:highlight w:val="yellow"/>
        </w:rPr>
      </w:pPr>
    </w:p>
    <w:p w:rsidR="00191DD4" w:rsidRDefault="00191DD4" w:rsidP="00191DD4">
      <w:pPr>
        <w:rPr>
          <w:rFonts w:cs="Verdana"/>
          <w:szCs w:val="18"/>
          <w:u w:val="single"/>
        </w:rPr>
      </w:pPr>
      <w:r w:rsidRPr="002C1067">
        <w:rPr>
          <w:rFonts w:cs="Verdana"/>
          <w:szCs w:val="18"/>
        </w:rPr>
        <w:t xml:space="preserve">Les paiements s’effectueront </w:t>
      </w:r>
      <w:r w:rsidRPr="002C1067">
        <w:rPr>
          <w:rFonts w:cs="Verdana"/>
          <w:b/>
          <w:szCs w:val="18"/>
        </w:rPr>
        <w:t>par acompte</w:t>
      </w:r>
      <w:r w:rsidRPr="002C1067">
        <w:rPr>
          <w:rFonts w:cs="Verdana"/>
          <w:szCs w:val="18"/>
        </w:rPr>
        <w:t xml:space="preserve"> </w:t>
      </w:r>
      <w:r w:rsidRPr="002C1067">
        <w:rPr>
          <w:rFonts w:cs="Verdana"/>
          <w:szCs w:val="18"/>
          <w:u w:val="single"/>
        </w:rPr>
        <w:t>sur présentation de facture(s) du titulaire</w:t>
      </w:r>
      <w:r>
        <w:rPr>
          <w:rFonts w:cs="Verdana"/>
          <w:szCs w:val="18"/>
          <w:u w:val="single"/>
        </w:rPr>
        <w:t>, selon l’échéancier suivant :</w:t>
      </w:r>
    </w:p>
    <w:p w:rsidR="004F5C27" w:rsidRDefault="004F5C27" w:rsidP="00191DD4">
      <w:pPr>
        <w:rPr>
          <w:rFonts w:cs="Verdana"/>
          <w:szCs w:val="18"/>
          <w:u w:val="single"/>
        </w:rPr>
      </w:pPr>
    </w:p>
    <w:p w:rsidR="00265B2D" w:rsidRDefault="00265B2D" w:rsidP="00191DD4">
      <w:pPr>
        <w:rPr>
          <w:rFonts w:cs="Verdana"/>
          <w:szCs w:val="18"/>
          <w:u w:val="single"/>
        </w:rPr>
        <w:sectPr w:rsidR="00265B2D" w:rsidSect="00DA780F">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4" w:bottom="567" w:left="1134" w:header="709" w:footer="347" w:gutter="0"/>
          <w:cols w:space="708"/>
          <w:titlePg/>
          <w:docGrid w:linePitch="360"/>
        </w:sectPr>
      </w:pPr>
    </w:p>
    <w:tbl>
      <w:tblPr>
        <w:tblW w:w="153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5103"/>
        <w:gridCol w:w="2407"/>
        <w:gridCol w:w="5669"/>
      </w:tblGrid>
      <w:tr w:rsidR="004F5C27" w:rsidRPr="00505C77" w:rsidTr="00265B2D">
        <w:trPr>
          <w:trHeight w:val="680"/>
        </w:trPr>
        <w:tc>
          <w:tcPr>
            <w:tcW w:w="2127" w:type="dxa"/>
            <w:shd w:val="clear" w:color="auto" w:fill="F2F2F2"/>
            <w:vAlign w:val="center"/>
          </w:tcPr>
          <w:p w:rsidR="004F5C27" w:rsidRPr="007B1074" w:rsidRDefault="004F5C27" w:rsidP="00043934">
            <w:pPr>
              <w:jc w:val="center"/>
              <w:rPr>
                <w:rFonts w:cs="Arial"/>
                <w:b/>
                <w:sz w:val="16"/>
                <w:szCs w:val="16"/>
              </w:rPr>
            </w:pPr>
            <w:r w:rsidRPr="007B1074">
              <w:rPr>
                <w:rFonts w:cs="Verdana"/>
                <w:szCs w:val="18"/>
                <w:u w:val="single"/>
              </w:rPr>
              <w:lastRenderedPageBreak/>
              <w:br w:type="page"/>
            </w:r>
            <w:r w:rsidRPr="007B1074">
              <w:rPr>
                <w:rFonts w:cs="Arial"/>
                <w:b/>
                <w:sz w:val="16"/>
                <w:szCs w:val="16"/>
              </w:rPr>
              <w:t>Missions</w:t>
            </w:r>
          </w:p>
        </w:tc>
        <w:tc>
          <w:tcPr>
            <w:tcW w:w="5103" w:type="dxa"/>
            <w:shd w:val="clear" w:color="auto" w:fill="F2F2F2"/>
            <w:vAlign w:val="center"/>
          </w:tcPr>
          <w:p w:rsidR="004F5C27" w:rsidRPr="007B1074" w:rsidRDefault="004F5C27" w:rsidP="00043934">
            <w:pPr>
              <w:ind w:left="-391" w:firstLine="391"/>
              <w:jc w:val="center"/>
              <w:rPr>
                <w:rFonts w:cs="Arial"/>
                <w:b/>
                <w:sz w:val="16"/>
                <w:szCs w:val="16"/>
              </w:rPr>
            </w:pPr>
            <w:r w:rsidRPr="007B1074">
              <w:rPr>
                <w:rFonts w:cs="Arial"/>
                <w:b/>
                <w:sz w:val="16"/>
                <w:szCs w:val="16"/>
              </w:rPr>
              <w:t>Echéance</w:t>
            </w:r>
          </w:p>
        </w:tc>
        <w:tc>
          <w:tcPr>
            <w:tcW w:w="2407" w:type="dxa"/>
            <w:shd w:val="clear" w:color="auto" w:fill="F2F2F2"/>
            <w:vAlign w:val="center"/>
          </w:tcPr>
          <w:p w:rsidR="004F5C27" w:rsidRPr="007B1074" w:rsidRDefault="004F5C27" w:rsidP="00043934">
            <w:pPr>
              <w:jc w:val="center"/>
              <w:rPr>
                <w:rFonts w:cs="Arial"/>
                <w:b/>
                <w:sz w:val="16"/>
                <w:szCs w:val="16"/>
              </w:rPr>
            </w:pPr>
            <w:r w:rsidRPr="007B1074">
              <w:rPr>
                <w:rFonts w:cs="Arial"/>
                <w:b/>
                <w:sz w:val="16"/>
                <w:szCs w:val="16"/>
              </w:rPr>
              <w:t xml:space="preserve">Montant </w:t>
            </w:r>
          </w:p>
          <w:p w:rsidR="004F5C27" w:rsidRPr="007B1074" w:rsidRDefault="004F5C27" w:rsidP="00043934">
            <w:pPr>
              <w:jc w:val="center"/>
              <w:rPr>
                <w:rFonts w:cs="Arial"/>
                <w:b/>
                <w:sz w:val="16"/>
                <w:szCs w:val="16"/>
              </w:rPr>
            </w:pPr>
            <w:r w:rsidRPr="007B1074">
              <w:rPr>
                <w:rFonts w:cs="Arial"/>
                <w:b/>
                <w:sz w:val="16"/>
                <w:szCs w:val="16"/>
              </w:rPr>
              <w:t>de l’élément de mission selon DPGF</w:t>
            </w:r>
          </w:p>
        </w:tc>
        <w:tc>
          <w:tcPr>
            <w:tcW w:w="5669" w:type="dxa"/>
            <w:shd w:val="clear" w:color="auto" w:fill="F2F2F2"/>
            <w:vAlign w:val="center"/>
          </w:tcPr>
          <w:p w:rsidR="004F5C27" w:rsidRPr="007B1074" w:rsidRDefault="004F5C27" w:rsidP="00043934">
            <w:pPr>
              <w:jc w:val="center"/>
              <w:rPr>
                <w:rFonts w:cs="Arial"/>
                <w:b/>
                <w:sz w:val="16"/>
                <w:szCs w:val="16"/>
              </w:rPr>
            </w:pPr>
            <w:r w:rsidRPr="007B1074">
              <w:rPr>
                <w:rFonts w:cs="Arial"/>
                <w:b/>
                <w:sz w:val="16"/>
                <w:szCs w:val="16"/>
              </w:rPr>
              <w:t>Observations</w:t>
            </w:r>
          </w:p>
        </w:tc>
      </w:tr>
      <w:tr w:rsidR="004F5C27" w:rsidRPr="00505C77" w:rsidTr="00265B2D">
        <w:trPr>
          <w:trHeight w:val="340"/>
        </w:trPr>
        <w:tc>
          <w:tcPr>
            <w:tcW w:w="2127" w:type="dxa"/>
            <w:vAlign w:val="center"/>
          </w:tcPr>
          <w:p w:rsidR="004F5C27" w:rsidRPr="007B1074" w:rsidRDefault="004F5C27" w:rsidP="00043934">
            <w:pPr>
              <w:pStyle w:val="Retraitnormal"/>
              <w:ind w:left="0"/>
              <w:rPr>
                <w:rFonts w:ascii="Verdana" w:hAnsi="Verdana" w:cs="Arial"/>
                <w:sz w:val="16"/>
                <w:szCs w:val="16"/>
              </w:rPr>
            </w:pPr>
            <w:r w:rsidRPr="007B1074">
              <w:rPr>
                <w:rFonts w:ascii="Verdana" w:hAnsi="Verdana" w:cs="Arial"/>
                <w:sz w:val="16"/>
                <w:szCs w:val="16"/>
              </w:rPr>
              <w:t xml:space="preserve">Diagnostic état des lieux </w:t>
            </w:r>
          </w:p>
        </w:tc>
        <w:tc>
          <w:tcPr>
            <w:tcW w:w="5103" w:type="dxa"/>
            <w:vAlign w:val="center"/>
          </w:tcPr>
          <w:p w:rsidR="004F5C27" w:rsidRPr="007B1074" w:rsidRDefault="004F5C27" w:rsidP="00043934">
            <w:pPr>
              <w:pStyle w:val="Retraitnormal"/>
              <w:ind w:left="0"/>
              <w:rPr>
                <w:rFonts w:ascii="Verdana" w:hAnsi="Verdana"/>
                <w:sz w:val="16"/>
                <w:szCs w:val="16"/>
              </w:rPr>
            </w:pPr>
            <w:r w:rsidRPr="007B1074">
              <w:rPr>
                <w:rFonts w:ascii="Verdana" w:hAnsi="Verdana" w:cs="Arial"/>
                <w:sz w:val="16"/>
                <w:szCs w:val="16"/>
              </w:rPr>
              <w:t xml:space="preserve"> Admission par le Maître d’ouvrage du dossier Diagnostic</w:t>
            </w:r>
          </w:p>
        </w:tc>
        <w:tc>
          <w:tcPr>
            <w:tcW w:w="2407" w:type="dxa"/>
            <w:vAlign w:val="center"/>
          </w:tcPr>
          <w:p w:rsidR="004F5C27" w:rsidRPr="007B1074" w:rsidRDefault="004F5C27" w:rsidP="00043934">
            <w:pPr>
              <w:jc w:val="center"/>
              <w:rPr>
                <w:rFonts w:cs="Arial"/>
                <w:sz w:val="16"/>
                <w:szCs w:val="16"/>
              </w:rPr>
            </w:pPr>
            <w:r w:rsidRPr="007B1074">
              <w:rPr>
                <w:rFonts w:cs="Arial"/>
                <w:sz w:val="16"/>
                <w:szCs w:val="16"/>
              </w:rPr>
              <w:t>100%</w:t>
            </w:r>
          </w:p>
        </w:tc>
        <w:tc>
          <w:tcPr>
            <w:tcW w:w="5669" w:type="dxa"/>
            <w:vAlign w:val="center"/>
          </w:tcPr>
          <w:p w:rsidR="004F5C27" w:rsidRPr="007B1074" w:rsidRDefault="004F5C27" w:rsidP="00043934">
            <w:pPr>
              <w:rPr>
                <w:rFonts w:cs="Arial"/>
                <w:sz w:val="16"/>
                <w:szCs w:val="16"/>
              </w:rPr>
            </w:pPr>
            <w:r w:rsidRPr="007B1074">
              <w:rPr>
                <w:rFonts w:cs="Arial"/>
                <w:sz w:val="16"/>
                <w:szCs w:val="16"/>
              </w:rPr>
              <w:t xml:space="preserve">Voir </w:t>
            </w:r>
            <w:r w:rsidR="007B1074">
              <w:rPr>
                <w:rFonts w:cs="Arial"/>
                <w:sz w:val="16"/>
                <w:szCs w:val="16"/>
              </w:rPr>
              <w:t>10.</w:t>
            </w:r>
            <w:r w:rsidR="00E86B50">
              <w:rPr>
                <w:rFonts w:cs="Arial"/>
                <w:sz w:val="16"/>
                <w:szCs w:val="16"/>
              </w:rPr>
              <w:t>2</w:t>
            </w:r>
            <w:r w:rsidR="007B1074">
              <w:rPr>
                <w:rFonts w:cs="Arial"/>
                <w:sz w:val="16"/>
                <w:szCs w:val="16"/>
              </w:rPr>
              <w:t>.1</w:t>
            </w:r>
          </w:p>
        </w:tc>
      </w:tr>
      <w:tr w:rsidR="007B6467" w:rsidRPr="00505C77" w:rsidTr="00265B2D">
        <w:trPr>
          <w:trHeight w:val="680"/>
        </w:trPr>
        <w:tc>
          <w:tcPr>
            <w:tcW w:w="2127" w:type="dxa"/>
            <w:vMerge w:val="restart"/>
            <w:vAlign w:val="center"/>
          </w:tcPr>
          <w:p w:rsidR="007B6467" w:rsidRPr="007B6467" w:rsidRDefault="007B6467" w:rsidP="007B6467">
            <w:pPr>
              <w:pStyle w:val="Retraitnormal"/>
              <w:ind w:left="0"/>
              <w:rPr>
                <w:rFonts w:ascii="Verdana" w:hAnsi="Verdana" w:cs="Arial"/>
                <w:sz w:val="16"/>
                <w:szCs w:val="16"/>
                <w:highlight w:val="yellow"/>
              </w:rPr>
            </w:pPr>
            <w:r w:rsidRPr="007B6467">
              <w:rPr>
                <w:rFonts w:ascii="Verdana" w:hAnsi="Verdana" w:cs="Arial"/>
                <w:sz w:val="16"/>
                <w:szCs w:val="16"/>
                <w:highlight w:val="yellow"/>
              </w:rPr>
              <w:t>Etudes d’avant-projet sommaire (APS)</w:t>
            </w:r>
          </w:p>
        </w:tc>
        <w:tc>
          <w:tcPr>
            <w:tcW w:w="5103" w:type="dxa"/>
            <w:vAlign w:val="center"/>
          </w:tcPr>
          <w:p w:rsidR="007B6467" w:rsidRPr="007B6467" w:rsidRDefault="007B6467" w:rsidP="007B6467">
            <w:pPr>
              <w:pStyle w:val="Retraitnormal"/>
              <w:ind w:left="0"/>
              <w:rPr>
                <w:rFonts w:ascii="Verdana" w:hAnsi="Verdana" w:cs="Arial"/>
                <w:sz w:val="16"/>
                <w:szCs w:val="16"/>
                <w:highlight w:val="yellow"/>
              </w:rPr>
            </w:pPr>
            <w:r w:rsidRPr="007B6467">
              <w:rPr>
                <w:rFonts w:ascii="Verdana" w:hAnsi="Verdana" w:cs="Arial"/>
                <w:sz w:val="16"/>
                <w:szCs w:val="16"/>
                <w:highlight w:val="yellow"/>
              </w:rPr>
              <w:t>Remise au Maître d’ouvrage du dossier d’avant-projet complet.</w:t>
            </w:r>
          </w:p>
        </w:tc>
        <w:tc>
          <w:tcPr>
            <w:tcW w:w="2407" w:type="dxa"/>
            <w:vAlign w:val="center"/>
          </w:tcPr>
          <w:p w:rsidR="007B6467" w:rsidRPr="007B6467" w:rsidRDefault="007B6467" w:rsidP="007B6467">
            <w:pPr>
              <w:jc w:val="center"/>
              <w:rPr>
                <w:rFonts w:cs="Arial"/>
                <w:sz w:val="16"/>
                <w:szCs w:val="16"/>
                <w:highlight w:val="yellow"/>
              </w:rPr>
            </w:pPr>
            <w:r w:rsidRPr="007B6467">
              <w:rPr>
                <w:rFonts w:cs="Arial"/>
                <w:sz w:val="16"/>
                <w:szCs w:val="16"/>
                <w:highlight w:val="yellow"/>
              </w:rPr>
              <w:t>30%</w:t>
            </w:r>
          </w:p>
        </w:tc>
        <w:tc>
          <w:tcPr>
            <w:tcW w:w="5669" w:type="dxa"/>
            <w:vAlign w:val="center"/>
          </w:tcPr>
          <w:p w:rsidR="007B6467" w:rsidRPr="007B6467" w:rsidRDefault="007B6467" w:rsidP="007B6467">
            <w:pPr>
              <w:rPr>
                <w:rFonts w:cs="Arial"/>
                <w:strike/>
                <w:sz w:val="16"/>
                <w:szCs w:val="16"/>
                <w:highlight w:val="yellow"/>
              </w:rPr>
            </w:pPr>
            <w:r w:rsidRPr="007B6467">
              <w:rPr>
                <w:rFonts w:cs="Arial"/>
                <w:sz w:val="16"/>
                <w:szCs w:val="16"/>
                <w:highlight w:val="yellow"/>
              </w:rPr>
              <w:t>Remise des documents dont la complétude est validée par un représentant de la Direction du Développement du Patrimoine Immobilier (DDPI).</w:t>
            </w:r>
          </w:p>
        </w:tc>
      </w:tr>
      <w:tr w:rsidR="007B6467" w:rsidRPr="00505C77" w:rsidTr="00265B2D">
        <w:trPr>
          <w:trHeight w:val="680"/>
        </w:trPr>
        <w:tc>
          <w:tcPr>
            <w:tcW w:w="2127" w:type="dxa"/>
            <w:vMerge/>
            <w:vAlign w:val="center"/>
          </w:tcPr>
          <w:p w:rsidR="007B6467" w:rsidRPr="007B6467" w:rsidRDefault="007B6467" w:rsidP="007B6467">
            <w:pPr>
              <w:pStyle w:val="Retraitnormal"/>
              <w:ind w:left="0"/>
              <w:rPr>
                <w:rFonts w:ascii="Verdana" w:hAnsi="Verdana" w:cs="Arial"/>
                <w:sz w:val="16"/>
                <w:szCs w:val="16"/>
                <w:highlight w:val="yellow"/>
              </w:rPr>
            </w:pPr>
          </w:p>
        </w:tc>
        <w:tc>
          <w:tcPr>
            <w:tcW w:w="5103" w:type="dxa"/>
            <w:vAlign w:val="center"/>
          </w:tcPr>
          <w:p w:rsidR="007B6467" w:rsidRPr="007B6467" w:rsidRDefault="007B6467" w:rsidP="007B6467">
            <w:pPr>
              <w:pStyle w:val="Retraitnormal"/>
              <w:ind w:left="0"/>
              <w:rPr>
                <w:rFonts w:ascii="Verdana" w:hAnsi="Verdana" w:cs="Arial"/>
                <w:sz w:val="16"/>
                <w:szCs w:val="16"/>
                <w:highlight w:val="yellow"/>
              </w:rPr>
            </w:pPr>
            <w:r w:rsidRPr="007B6467">
              <w:rPr>
                <w:rFonts w:ascii="Verdana" w:hAnsi="Verdana" w:cs="Arial"/>
                <w:sz w:val="16"/>
                <w:szCs w:val="16"/>
                <w:highlight w:val="yellow"/>
              </w:rPr>
              <w:t>Admission par le Maître d’ouvrage du dossier d’</w:t>
            </w:r>
            <w:r w:rsidR="00265B2D">
              <w:rPr>
                <w:rFonts w:ascii="Verdana" w:hAnsi="Verdana" w:cs="Arial"/>
                <w:sz w:val="16"/>
                <w:szCs w:val="16"/>
                <w:highlight w:val="yellow"/>
              </w:rPr>
              <w:t>a</w:t>
            </w:r>
            <w:r w:rsidRPr="007B6467">
              <w:rPr>
                <w:rFonts w:ascii="Verdana" w:hAnsi="Verdana" w:cs="Arial"/>
                <w:sz w:val="16"/>
                <w:szCs w:val="16"/>
                <w:highlight w:val="yellow"/>
              </w:rPr>
              <w:t>vant-projet.</w:t>
            </w:r>
          </w:p>
        </w:tc>
        <w:tc>
          <w:tcPr>
            <w:tcW w:w="2407" w:type="dxa"/>
            <w:vAlign w:val="center"/>
          </w:tcPr>
          <w:p w:rsidR="007B6467" w:rsidRPr="007B6467" w:rsidRDefault="007B6467" w:rsidP="007B6467">
            <w:pPr>
              <w:jc w:val="center"/>
              <w:rPr>
                <w:rFonts w:cs="Arial"/>
                <w:sz w:val="16"/>
                <w:szCs w:val="16"/>
                <w:highlight w:val="yellow"/>
              </w:rPr>
            </w:pPr>
            <w:r w:rsidRPr="007B6467">
              <w:rPr>
                <w:rFonts w:cs="Arial"/>
                <w:sz w:val="16"/>
                <w:szCs w:val="16"/>
                <w:highlight w:val="yellow"/>
              </w:rPr>
              <w:t>70%</w:t>
            </w:r>
          </w:p>
        </w:tc>
        <w:tc>
          <w:tcPr>
            <w:tcW w:w="5669" w:type="dxa"/>
            <w:vAlign w:val="center"/>
          </w:tcPr>
          <w:p w:rsidR="007B6467" w:rsidRPr="007B6467" w:rsidRDefault="007B6467" w:rsidP="007B6467">
            <w:pPr>
              <w:rPr>
                <w:rFonts w:cs="Arial"/>
                <w:sz w:val="16"/>
                <w:szCs w:val="16"/>
                <w:highlight w:val="yellow"/>
              </w:rPr>
            </w:pPr>
            <w:r w:rsidRPr="007B6467">
              <w:rPr>
                <w:rFonts w:cs="Arial"/>
                <w:sz w:val="16"/>
                <w:szCs w:val="16"/>
                <w:highlight w:val="yellow"/>
              </w:rPr>
              <w:t>Voir 10.2.1</w:t>
            </w:r>
          </w:p>
        </w:tc>
      </w:tr>
      <w:tr w:rsidR="004F5C27" w:rsidRPr="00505C77" w:rsidTr="00265B2D">
        <w:trPr>
          <w:trHeight w:val="680"/>
        </w:trPr>
        <w:tc>
          <w:tcPr>
            <w:tcW w:w="2127" w:type="dxa"/>
            <w:vMerge w:val="restart"/>
            <w:vAlign w:val="center"/>
          </w:tcPr>
          <w:p w:rsidR="004F5C27" w:rsidRPr="007B6467" w:rsidRDefault="004F5C27" w:rsidP="00043934">
            <w:pPr>
              <w:pStyle w:val="Retraitnormal"/>
              <w:ind w:left="0"/>
              <w:rPr>
                <w:rFonts w:ascii="Verdana" w:hAnsi="Verdana" w:cs="Arial"/>
                <w:sz w:val="16"/>
                <w:szCs w:val="16"/>
                <w:highlight w:val="yellow"/>
              </w:rPr>
            </w:pPr>
            <w:r w:rsidRPr="007B6467">
              <w:rPr>
                <w:rFonts w:ascii="Verdana" w:hAnsi="Verdana" w:cs="Arial"/>
                <w:sz w:val="16"/>
                <w:szCs w:val="16"/>
                <w:highlight w:val="yellow"/>
              </w:rPr>
              <w:t>Etudes d’avant-projet</w:t>
            </w:r>
            <w:r w:rsidR="007B6467" w:rsidRPr="007B6467">
              <w:rPr>
                <w:rFonts w:ascii="Verdana" w:hAnsi="Verdana" w:cs="Arial"/>
                <w:sz w:val="16"/>
                <w:szCs w:val="16"/>
                <w:highlight w:val="yellow"/>
              </w:rPr>
              <w:t xml:space="preserve"> détaillé (APD)</w:t>
            </w:r>
          </w:p>
        </w:tc>
        <w:tc>
          <w:tcPr>
            <w:tcW w:w="5103" w:type="dxa"/>
            <w:vAlign w:val="center"/>
          </w:tcPr>
          <w:p w:rsidR="004F5C27" w:rsidRPr="007B6467" w:rsidRDefault="004F5C27" w:rsidP="00043934">
            <w:pPr>
              <w:pStyle w:val="Retraitnormal"/>
              <w:ind w:left="0"/>
              <w:rPr>
                <w:rFonts w:ascii="Verdana" w:hAnsi="Verdana" w:cs="Arial"/>
                <w:sz w:val="16"/>
                <w:szCs w:val="16"/>
                <w:highlight w:val="yellow"/>
              </w:rPr>
            </w:pPr>
            <w:r w:rsidRPr="007B6467">
              <w:rPr>
                <w:rFonts w:ascii="Verdana" w:hAnsi="Verdana" w:cs="Arial"/>
                <w:sz w:val="16"/>
                <w:szCs w:val="16"/>
                <w:highlight w:val="yellow"/>
              </w:rPr>
              <w:t>Remise au Maître d’ouvrage du dossier d’avant-projet complet.</w:t>
            </w:r>
          </w:p>
        </w:tc>
        <w:tc>
          <w:tcPr>
            <w:tcW w:w="2407" w:type="dxa"/>
            <w:vAlign w:val="center"/>
          </w:tcPr>
          <w:p w:rsidR="004F5C27" w:rsidRPr="007B6467" w:rsidRDefault="004F5C27" w:rsidP="00043934">
            <w:pPr>
              <w:jc w:val="center"/>
              <w:rPr>
                <w:rFonts w:cs="Arial"/>
                <w:sz w:val="16"/>
                <w:szCs w:val="16"/>
                <w:highlight w:val="yellow"/>
              </w:rPr>
            </w:pPr>
            <w:r w:rsidRPr="007B6467">
              <w:rPr>
                <w:rFonts w:cs="Arial"/>
                <w:sz w:val="16"/>
                <w:szCs w:val="16"/>
                <w:highlight w:val="yellow"/>
              </w:rPr>
              <w:t>30%</w:t>
            </w:r>
          </w:p>
        </w:tc>
        <w:tc>
          <w:tcPr>
            <w:tcW w:w="5669" w:type="dxa"/>
            <w:vAlign w:val="center"/>
          </w:tcPr>
          <w:p w:rsidR="004F5C27" w:rsidRPr="007B6467" w:rsidRDefault="004F5C27" w:rsidP="00043934">
            <w:pPr>
              <w:rPr>
                <w:rFonts w:cs="Arial"/>
                <w:strike/>
                <w:sz w:val="16"/>
                <w:szCs w:val="16"/>
                <w:highlight w:val="yellow"/>
              </w:rPr>
            </w:pPr>
            <w:r w:rsidRPr="007B6467">
              <w:rPr>
                <w:rFonts w:cs="Arial"/>
                <w:sz w:val="16"/>
                <w:szCs w:val="16"/>
                <w:highlight w:val="yellow"/>
              </w:rPr>
              <w:t>Remise des documents dont la complétude est validée par un représentant de la Direction du Développement du Patrimoine Immobilier (DDPI).</w:t>
            </w:r>
          </w:p>
        </w:tc>
      </w:tr>
      <w:tr w:rsidR="004F5C27" w:rsidRPr="00505C77" w:rsidTr="00265B2D">
        <w:trPr>
          <w:trHeight w:val="567"/>
        </w:trPr>
        <w:tc>
          <w:tcPr>
            <w:tcW w:w="2127" w:type="dxa"/>
            <w:vMerge/>
            <w:vAlign w:val="center"/>
          </w:tcPr>
          <w:p w:rsidR="004F5C27" w:rsidRPr="007B6467" w:rsidRDefault="004F5C27" w:rsidP="00043934">
            <w:pPr>
              <w:pStyle w:val="Retraitnormal"/>
              <w:ind w:left="0"/>
              <w:rPr>
                <w:rFonts w:ascii="Verdana" w:hAnsi="Verdana" w:cs="Arial"/>
                <w:sz w:val="16"/>
                <w:szCs w:val="16"/>
                <w:highlight w:val="yellow"/>
              </w:rPr>
            </w:pPr>
          </w:p>
        </w:tc>
        <w:tc>
          <w:tcPr>
            <w:tcW w:w="5103" w:type="dxa"/>
            <w:vAlign w:val="center"/>
          </w:tcPr>
          <w:p w:rsidR="004F5C27" w:rsidRPr="007B6467" w:rsidRDefault="004F5C27" w:rsidP="00043934">
            <w:pPr>
              <w:pStyle w:val="Retraitnormal"/>
              <w:ind w:left="0"/>
              <w:rPr>
                <w:rFonts w:ascii="Verdana" w:hAnsi="Verdana" w:cs="Arial"/>
                <w:sz w:val="16"/>
                <w:szCs w:val="16"/>
                <w:highlight w:val="yellow"/>
              </w:rPr>
            </w:pPr>
            <w:r w:rsidRPr="007B6467">
              <w:rPr>
                <w:rFonts w:ascii="Verdana" w:hAnsi="Verdana" w:cs="Arial"/>
                <w:sz w:val="16"/>
                <w:szCs w:val="16"/>
                <w:highlight w:val="yellow"/>
              </w:rPr>
              <w:t>Admission par le Maître d’ouvrage du dossier d’</w:t>
            </w:r>
            <w:r w:rsidR="00265B2D">
              <w:rPr>
                <w:rFonts w:ascii="Verdana" w:hAnsi="Verdana" w:cs="Arial"/>
                <w:sz w:val="16"/>
                <w:szCs w:val="16"/>
                <w:highlight w:val="yellow"/>
              </w:rPr>
              <w:t>a</w:t>
            </w:r>
            <w:r w:rsidRPr="007B6467">
              <w:rPr>
                <w:rFonts w:ascii="Verdana" w:hAnsi="Verdana" w:cs="Arial"/>
                <w:sz w:val="16"/>
                <w:szCs w:val="16"/>
                <w:highlight w:val="yellow"/>
              </w:rPr>
              <w:t>vant-projet.</w:t>
            </w:r>
          </w:p>
        </w:tc>
        <w:tc>
          <w:tcPr>
            <w:tcW w:w="2407" w:type="dxa"/>
            <w:vAlign w:val="center"/>
          </w:tcPr>
          <w:p w:rsidR="004F5C27" w:rsidRPr="007B6467" w:rsidRDefault="004F5C27" w:rsidP="00043934">
            <w:pPr>
              <w:jc w:val="center"/>
              <w:rPr>
                <w:rFonts w:cs="Arial"/>
                <w:sz w:val="16"/>
                <w:szCs w:val="16"/>
                <w:highlight w:val="yellow"/>
              </w:rPr>
            </w:pPr>
            <w:r w:rsidRPr="007B6467">
              <w:rPr>
                <w:rFonts w:cs="Arial"/>
                <w:sz w:val="16"/>
                <w:szCs w:val="16"/>
                <w:highlight w:val="yellow"/>
              </w:rPr>
              <w:t>70%</w:t>
            </w:r>
          </w:p>
        </w:tc>
        <w:tc>
          <w:tcPr>
            <w:tcW w:w="5669" w:type="dxa"/>
            <w:vAlign w:val="center"/>
          </w:tcPr>
          <w:p w:rsidR="004F5C27" w:rsidRPr="007B6467" w:rsidRDefault="000A1E97" w:rsidP="00043934">
            <w:pPr>
              <w:rPr>
                <w:rFonts w:cs="Arial"/>
                <w:sz w:val="16"/>
                <w:szCs w:val="16"/>
                <w:highlight w:val="yellow"/>
              </w:rPr>
            </w:pPr>
            <w:r w:rsidRPr="007B6467">
              <w:rPr>
                <w:rFonts w:cs="Arial"/>
                <w:sz w:val="16"/>
                <w:szCs w:val="16"/>
                <w:highlight w:val="yellow"/>
              </w:rPr>
              <w:t>Voir 10.2.1</w:t>
            </w:r>
          </w:p>
        </w:tc>
      </w:tr>
      <w:tr w:rsidR="004F5C27" w:rsidRPr="00505C77" w:rsidTr="00265B2D">
        <w:trPr>
          <w:trHeight w:val="389"/>
        </w:trPr>
        <w:tc>
          <w:tcPr>
            <w:tcW w:w="2127" w:type="dxa"/>
            <w:vMerge w:val="restart"/>
            <w:vAlign w:val="center"/>
          </w:tcPr>
          <w:p w:rsidR="004F5C27" w:rsidRPr="007B1074" w:rsidRDefault="004F5C27" w:rsidP="00043934">
            <w:pPr>
              <w:pStyle w:val="Retraitnormal"/>
              <w:ind w:left="0"/>
              <w:rPr>
                <w:rFonts w:ascii="Verdana" w:hAnsi="Verdana" w:cs="Arial"/>
                <w:sz w:val="16"/>
                <w:szCs w:val="16"/>
              </w:rPr>
            </w:pPr>
            <w:r w:rsidRPr="007B1074">
              <w:rPr>
                <w:rFonts w:ascii="Verdana" w:hAnsi="Verdana" w:cs="Arial"/>
                <w:sz w:val="16"/>
                <w:szCs w:val="16"/>
              </w:rPr>
              <w:t>Etudes Projet</w:t>
            </w:r>
          </w:p>
        </w:tc>
        <w:tc>
          <w:tcPr>
            <w:tcW w:w="5103" w:type="dxa"/>
            <w:vAlign w:val="center"/>
          </w:tcPr>
          <w:p w:rsidR="004F5C27" w:rsidRPr="007B1074" w:rsidRDefault="004F5C27" w:rsidP="00043934">
            <w:pPr>
              <w:pStyle w:val="Retraitnormal"/>
              <w:ind w:left="0"/>
              <w:rPr>
                <w:rFonts w:ascii="Verdana" w:hAnsi="Verdana"/>
                <w:sz w:val="16"/>
                <w:szCs w:val="16"/>
              </w:rPr>
            </w:pPr>
            <w:r w:rsidRPr="007B1074">
              <w:rPr>
                <w:rFonts w:ascii="Verdana" w:hAnsi="Verdana" w:cs="Arial"/>
                <w:sz w:val="16"/>
                <w:szCs w:val="16"/>
              </w:rPr>
              <w:t xml:space="preserve">Remise au Maître d’ouvrage du dossier projet complet. </w:t>
            </w:r>
          </w:p>
        </w:tc>
        <w:tc>
          <w:tcPr>
            <w:tcW w:w="2407" w:type="dxa"/>
            <w:vAlign w:val="center"/>
          </w:tcPr>
          <w:p w:rsidR="004F5C27" w:rsidRPr="007B1074" w:rsidRDefault="004F5C27" w:rsidP="00043934">
            <w:pPr>
              <w:jc w:val="center"/>
              <w:rPr>
                <w:rFonts w:cs="Arial"/>
                <w:sz w:val="16"/>
                <w:szCs w:val="16"/>
              </w:rPr>
            </w:pPr>
            <w:r w:rsidRPr="007B1074">
              <w:rPr>
                <w:rFonts w:cs="Arial"/>
                <w:sz w:val="16"/>
                <w:szCs w:val="16"/>
              </w:rPr>
              <w:t>30%</w:t>
            </w:r>
          </w:p>
        </w:tc>
        <w:tc>
          <w:tcPr>
            <w:tcW w:w="5669" w:type="dxa"/>
            <w:vAlign w:val="center"/>
          </w:tcPr>
          <w:p w:rsidR="004F5C27" w:rsidRPr="007B1074" w:rsidRDefault="004F5C27" w:rsidP="00043934">
            <w:pPr>
              <w:rPr>
                <w:sz w:val="16"/>
                <w:szCs w:val="16"/>
              </w:rPr>
            </w:pPr>
            <w:r w:rsidRPr="007B1074">
              <w:rPr>
                <w:rFonts w:cs="Arial"/>
                <w:sz w:val="16"/>
                <w:szCs w:val="16"/>
              </w:rPr>
              <w:t>Remise des documents dont la complétude est validée par un représentant de la DDPI.</w:t>
            </w:r>
          </w:p>
        </w:tc>
      </w:tr>
      <w:tr w:rsidR="004F5C27" w:rsidRPr="00505C77" w:rsidTr="00265B2D">
        <w:trPr>
          <w:trHeight w:val="454"/>
        </w:trPr>
        <w:tc>
          <w:tcPr>
            <w:tcW w:w="2127" w:type="dxa"/>
            <w:vMerge/>
            <w:tcBorders>
              <w:bottom w:val="single" w:sz="4" w:space="0" w:color="auto"/>
            </w:tcBorders>
            <w:vAlign w:val="center"/>
          </w:tcPr>
          <w:p w:rsidR="004F5C27" w:rsidRPr="007B1074" w:rsidRDefault="004F5C27" w:rsidP="00043934">
            <w:pPr>
              <w:pStyle w:val="Retraitnormal"/>
              <w:ind w:left="0"/>
              <w:rPr>
                <w:rFonts w:ascii="Verdana" w:hAnsi="Verdana" w:cs="Arial"/>
                <w:sz w:val="16"/>
                <w:szCs w:val="16"/>
              </w:rPr>
            </w:pPr>
          </w:p>
        </w:tc>
        <w:tc>
          <w:tcPr>
            <w:tcW w:w="5103" w:type="dxa"/>
            <w:vAlign w:val="center"/>
          </w:tcPr>
          <w:p w:rsidR="004F5C27" w:rsidRPr="007B1074" w:rsidRDefault="004F5C27" w:rsidP="00043934">
            <w:pPr>
              <w:pStyle w:val="Retraitnormal"/>
              <w:ind w:left="0"/>
              <w:rPr>
                <w:rFonts w:ascii="Verdana" w:hAnsi="Verdana" w:cs="Arial"/>
                <w:sz w:val="16"/>
                <w:szCs w:val="16"/>
              </w:rPr>
            </w:pPr>
            <w:r w:rsidRPr="007B1074">
              <w:rPr>
                <w:rFonts w:ascii="Verdana" w:hAnsi="Verdana" w:cs="Arial"/>
                <w:sz w:val="16"/>
                <w:szCs w:val="16"/>
              </w:rPr>
              <w:t>Admission par le Maître d’ouvrage du dossier « </w:t>
            </w:r>
            <w:r w:rsidRPr="007B1074">
              <w:rPr>
                <w:rFonts w:ascii="Verdana" w:hAnsi="Verdana" w:cs="Arial"/>
                <w:smallCaps/>
                <w:sz w:val="16"/>
                <w:szCs w:val="16"/>
              </w:rPr>
              <w:t>projet</w:t>
            </w:r>
            <w:r w:rsidRPr="007B1074">
              <w:rPr>
                <w:rFonts w:ascii="Verdana" w:hAnsi="Verdana" w:cs="Arial"/>
                <w:sz w:val="16"/>
                <w:szCs w:val="16"/>
              </w:rPr>
              <w:t> ».</w:t>
            </w:r>
          </w:p>
        </w:tc>
        <w:tc>
          <w:tcPr>
            <w:tcW w:w="2407" w:type="dxa"/>
            <w:vAlign w:val="center"/>
          </w:tcPr>
          <w:p w:rsidR="004F5C27" w:rsidRPr="007B1074" w:rsidRDefault="004F5C27" w:rsidP="00043934">
            <w:pPr>
              <w:jc w:val="center"/>
              <w:rPr>
                <w:rFonts w:cs="Arial"/>
                <w:sz w:val="16"/>
                <w:szCs w:val="16"/>
              </w:rPr>
            </w:pPr>
            <w:r w:rsidRPr="007B1074">
              <w:rPr>
                <w:rFonts w:cs="Arial"/>
                <w:sz w:val="16"/>
                <w:szCs w:val="16"/>
              </w:rPr>
              <w:t>70%</w:t>
            </w:r>
          </w:p>
        </w:tc>
        <w:tc>
          <w:tcPr>
            <w:tcW w:w="5669" w:type="dxa"/>
            <w:vAlign w:val="center"/>
          </w:tcPr>
          <w:p w:rsidR="004F5C27" w:rsidRPr="007B1074" w:rsidRDefault="000A1E97" w:rsidP="00043934">
            <w:pPr>
              <w:rPr>
                <w:rFonts w:cs="Arial"/>
                <w:sz w:val="16"/>
                <w:szCs w:val="16"/>
              </w:rPr>
            </w:pPr>
            <w:r w:rsidRPr="007B1074">
              <w:rPr>
                <w:rFonts w:cs="Arial"/>
                <w:sz w:val="16"/>
                <w:szCs w:val="16"/>
              </w:rPr>
              <w:t xml:space="preserve">Voir </w:t>
            </w:r>
            <w:r>
              <w:rPr>
                <w:rFonts w:cs="Arial"/>
                <w:sz w:val="16"/>
                <w:szCs w:val="16"/>
              </w:rPr>
              <w:t>10.2.1</w:t>
            </w:r>
          </w:p>
        </w:tc>
      </w:tr>
      <w:tr w:rsidR="004F5C27" w:rsidRPr="00505C77" w:rsidTr="00265B2D">
        <w:trPr>
          <w:cantSplit/>
          <w:trHeight w:val="454"/>
        </w:trPr>
        <w:tc>
          <w:tcPr>
            <w:tcW w:w="2127" w:type="dxa"/>
            <w:vMerge w:val="restart"/>
            <w:tcBorders>
              <w:top w:val="single" w:sz="4" w:space="0" w:color="auto"/>
              <w:left w:val="single" w:sz="4" w:space="0" w:color="auto"/>
              <w:right w:val="single" w:sz="4" w:space="0" w:color="auto"/>
            </w:tcBorders>
            <w:vAlign w:val="center"/>
          </w:tcPr>
          <w:p w:rsidR="004F5C27" w:rsidRPr="007B1074" w:rsidRDefault="004F5C27" w:rsidP="00043934">
            <w:pPr>
              <w:rPr>
                <w:rFonts w:cs="Arial"/>
                <w:sz w:val="16"/>
                <w:szCs w:val="16"/>
              </w:rPr>
            </w:pPr>
            <w:r w:rsidRPr="007B1074">
              <w:rPr>
                <w:rFonts w:cs="Arial"/>
                <w:sz w:val="16"/>
                <w:szCs w:val="16"/>
              </w:rPr>
              <w:t>Assistance à la passation des marchés de travaux</w:t>
            </w:r>
          </w:p>
        </w:tc>
        <w:tc>
          <w:tcPr>
            <w:tcW w:w="5103" w:type="dxa"/>
            <w:tcBorders>
              <w:left w:val="single" w:sz="4" w:space="0" w:color="auto"/>
            </w:tcBorders>
            <w:vAlign w:val="center"/>
          </w:tcPr>
          <w:p w:rsidR="004F5C27" w:rsidRPr="007B1074" w:rsidRDefault="004F5C27" w:rsidP="00043934">
            <w:pPr>
              <w:rPr>
                <w:rFonts w:cs="Arial"/>
                <w:sz w:val="16"/>
                <w:szCs w:val="16"/>
              </w:rPr>
            </w:pPr>
            <w:r w:rsidRPr="007B1074">
              <w:rPr>
                <w:rFonts w:cs="Arial"/>
                <w:sz w:val="16"/>
                <w:szCs w:val="16"/>
              </w:rPr>
              <w:t>Admission par le Maître d’ouvrage du dossier « DCE ».</w:t>
            </w:r>
          </w:p>
        </w:tc>
        <w:tc>
          <w:tcPr>
            <w:tcW w:w="2407" w:type="dxa"/>
            <w:vAlign w:val="center"/>
          </w:tcPr>
          <w:p w:rsidR="004F5C27" w:rsidRPr="007B1074" w:rsidRDefault="004F5C27" w:rsidP="00043934">
            <w:pPr>
              <w:pStyle w:val="Retraitnormal"/>
              <w:ind w:left="0"/>
              <w:jc w:val="center"/>
              <w:rPr>
                <w:rFonts w:ascii="Verdana" w:hAnsi="Verdana"/>
                <w:sz w:val="16"/>
                <w:szCs w:val="16"/>
              </w:rPr>
            </w:pPr>
            <w:r w:rsidRPr="007B1074">
              <w:rPr>
                <w:rFonts w:ascii="Verdana" w:hAnsi="Verdana" w:cs="Arial"/>
                <w:sz w:val="16"/>
                <w:szCs w:val="16"/>
              </w:rPr>
              <w:t>70 %</w:t>
            </w:r>
          </w:p>
        </w:tc>
        <w:tc>
          <w:tcPr>
            <w:tcW w:w="5669" w:type="dxa"/>
            <w:vMerge w:val="restart"/>
            <w:vAlign w:val="center"/>
          </w:tcPr>
          <w:p w:rsidR="004F5C27" w:rsidRPr="007B1074" w:rsidRDefault="000A1E97" w:rsidP="00043934">
            <w:pPr>
              <w:rPr>
                <w:sz w:val="16"/>
                <w:szCs w:val="16"/>
              </w:rPr>
            </w:pPr>
            <w:r w:rsidRPr="007B1074">
              <w:rPr>
                <w:rFonts w:cs="Arial"/>
                <w:sz w:val="16"/>
                <w:szCs w:val="16"/>
              </w:rPr>
              <w:t xml:space="preserve">Voir </w:t>
            </w:r>
            <w:r>
              <w:rPr>
                <w:rFonts w:cs="Arial"/>
                <w:sz w:val="16"/>
                <w:szCs w:val="16"/>
              </w:rPr>
              <w:t>10.2.1</w:t>
            </w:r>
            <w:r w:rsidR="00F17189">
              <w:rPr>
                <w:rFonts w:cs="Arial"/>
                <w:sz w:val="16"/>
                <w:szCs w:val="16"/>
              </w:rPr>
              <w:t xml:space="preserve"> </w:t>
            </w:r>
            <w:r w:rsidR="004F5C27" w:rsidRPr="007B1074">
              <w:rPr>
                <w:rFonts w:cs="Arial"/>
                <w:sz w:val="16"/>
                <w:szCs w:val="16"/>
              </w:rPr>
              <w:t>Validation par la DDPI</w:t>
            </w:r>
          </w:p>
          <w:p w:rsidR="004F5C27" w:rsidRPr="007B1074" w:rsidRDefault="004F5C27" w:rsidP="00043934">
            <w:pPr>
              <w:rPr>
                <w:sz w:val="16"/>
                <w:szCs w:val="16"/>
              </w:rPr>
            </w:pPr>
          </w:p>
        </w:tc>
      </w:tr>
      <w:tr w:rsidR="004F5C27" w:rsidRPr="00505C77" w:rsidTr="00265B2D">
        <w:trPr>
          <w:cantSplit/>
          <w:trHeight w:val="454"/>
        </w:trPr>
        <w:tc>
          <w:tcPr>
            <w:tcW w:w="2127" w:type="dxa"/>
            <w:vMerge/>
            <w:tcBorders>
              <w:left w:val="single" w:sz="4" w:space="0" w:color="auto"/>
              <w:bottom w:val="single" w:sz="4" w:space="0" w:color="auto"/>
              <w:right w:val="single" w:sz="4" w:space="0" w:color="auto"/>
            </w:tcBorders>
            <w:vAlign w:val="center"/>
          </w:tcPr>
          <w:p w:rsidR="004F5C27" w:rsidRPr="007B1074" w:rsidRDefault="004F5C27" w:rsidP="00043934">
            <w:pPr>
              <w:rPr>
                <w:rFonts w:cs="Arial"/>
                <w:sz w:val="16"/>
                <w:szCs w:val="16"/>
              </w:rPr>
            </w:pPr>
          </w:p>
        </w:tc>
        <w:tc>
          <w:tcPr>
            <w:tcW w:w="5103" w:type="dxa"/>
            <w:tcBorders>
              <w:left w:val="single" w:sz="4" w:space="0" w:color="auto"/>
            </w:tcBorders>
            <w:vAlign w:val="center"/>
          </w:tcPr>
          <w:p w:rsidR="004F5C27" w:rsidRPr="007B1074" w:rsidRDefault="004F5C27" w:rsidP="00043934">
            <w:pPr>
              <w:rPr>
                <w:rFonts w:cs="Arial"/>
                <w:sz w:val="16"/>
                <w:szCs w:val="16"/>
              </w:rPr>
            </w:pPr>
            <w:r w:rsidRPr="007B1074">
              <w:rPr>
                <w:rFonts w:cs="Arial"/>
                <w:sz w:val="16"/>
                <w:szCs w:val="16"/>
              </w:rPr>
              <w:t>Admission par le Maître d’ouvrage du rapport d’analyse des offres final (après éventuelles négociations).</w:t>
            </w:r>
          </w:p>
        </w:tc>
        <w:tc>
          <w:tcPr>
            <w:tcW w:w="2407" w:type="dxa"/>
            <w:vAlign w:val="center"/>
          </w:tcPr>
          <w:p w:rsidR="004F5C27" w:rsidRPr="007B1074" w:rsidRDefault="004F5C27" w:rsidP="00043934">
            <w:pPr>
              <w:pStyle w:val="Retraitnormal"/>
              <w:ind w:left="0"/>
              <w:jc w:val="center"/>
              <w:rPr>
                <w:rFonts w:ascii="Verdana" w:hAnsi="Verdana"/>
                <w:sz w:val="16"/>
                <w:szCs w:val="16"/>
              </w:rPr>
            </w:pPr>
            <w:r w:rsidRPr="007B1074">
              <w:rPr>
                <w:rFonts w:ascii="Verdana" w:hAnsi="Verdana" w:cs="Arial"/>
                <w:sz w:val="16"/>
                <w:szCs w:val="16"/>
              </w:rPr>
              <w:t>30 %</w:t>
            </w:r>
          </w:p>
        </w:tc>
        <w:tc>
          <w:tcPr>
            <w:tcW w:w="5669" w:type="dxa"/>
            <w:vMerge/>
            <w:vAlign w:val="center"/>
          </w:tcPr>
          <w:p w:rsidR="004F5C27" w:rsidRPr="007B1074" w:rsidRDefault="004F5C27" w:rsidP="00043934">
            <w:pPr>
              <w:rPr>
                <w:sz w:val="16"/>
                <w:szCs w:val="16"/>
              </w:rPr>
            </w:pPr>
          </w:p>
        </w:tc>
      </w:tr>
      <w:tr w:rsidR="00E86B50" w:rsidRPr="00505C77" w:rsidTr="00265B2D">
        <w:trPr>
          <w:cantSplit/>
          <w:trHeight w:val="340"/>
        </w:trPr>
        <w:tc>
          <w:tcPr>
            <w:tcW w:w="2127" w:type="dxa"/>
            <w:vAlign w:val="center"/>
          </w:tcPr>
          <w:p w:rsidR="00E86B50" w:rsidRPr="007B1074" w:rsidRDefault="00E86B50" w:rsidP="00E86B50">
            <w:pPr>
              <w:rPr>
                <w:rFonts w:cs="Arial"/>
                <w:sz w:val="16"/>
                <w:szCs w:val="16"/>
              </w:rPr>
            </w:pPr>
            <w:r w:rsidRPr="007B1074">
              <w:rPr>
                <w:rFonts w:cs="Arial"/>
                <w:sz w:val="16"/>
                <w:szCs w:val="16"/>
              </w:rPr>
              <w:t>Visa des documents de synthèse et d’exécution</w:t>
            </w:r>
          </w:p>
        </w:tc>
        <w:tc>
          <w:tcPr>
            <w:tcW w:w="5103" w:type="dxa"/>
            <w:vAlign w:val="center"/>
          </w:tcPr>
          <w:p w:rsidR="00E86B50" w:rsidRPr="007B1074" w:rsidRDefault="00E86B50" w:rsidP="00E86B50">
            <w:pPr>
              <w:rPr>
                <w:rFonts w:cs="Arial"/>
                <w:sz w:val="16"/>
                <w:szCs w:val="16"/>
              </w:rPr>
            </w:pPr>
            <w:r w:rsidRPr="007B1074">
              <w:rPr>
                <w:rFonts w:cs="Arial"/>
                <w:sz w:val="16"/>
                <w:szCs w:val="16"/>
              </w:rPr>
              <w:t>Proportionnellement à l’avancement des travaux.</w:t>
            </w:r>
          </w:p>
        </w:tc>
        <w:tc>
          <w:tcPr>
            <w:tcW w:w="2407" w:type="dxa"/>
            <w:vAlign w:val="center"/>
          </w:tcPr>
          <w:p w:rsidR="00E86B50" w:rsidRPr="007B1074" w:rsidRDefault="00E86B50" w:rsidP="00E86B50">
            <w:pPr>
              <w:jc w:val="center"/>
              <w:rPr>
                <w:rFonts w:cs="Arial"/>
                <w:sz w:val="16"/>
                <w:szCs w:val="16"/>
              </w:rPr>
            </w:pPr>
            <w:r w:rsidRPr="007B1074">
              <w:rPr>
                <w:rFonts w:cs="Arial"/>
                <w:sz w:val="16"/>
                <w:szCs w:val="16"/>
              </w:rPr>
              <w:t>100%</w:t>
            </w:r>
          </w:p>
        </w:tc>
        <w:tc>
          <w:tcPr>
            <w:tcW w:w="5669" w:type="dxa"/>
            <w:vAlign w:val="center"/>
          </w:tcPr>
          <w:p w:rsidR="00E86B50" w:rsidRPr="007B1074" w:rsidRDefault="00E86B50" w:rsidP="00E86B50">
            <w:pPr>
              <w:rPr>
                <w:rFonts w:cs="Arial"/>
                <w:sz w:val="16"/>
                <w:szCs w:val="16"/>
              </w:rPr>
            </w:pPr>
            <w:r w:rsidRPr="007B1074">
              <w:rPr>
                <w:rFonts w:cs="Arial"/>
                <w:sz w:val="16"/>
                <w:szCs w:val="16"/>
              </w:rPr>
              <w:t xml:space="preserve">Voir </w:t>
            </w:r>
            <w:r>
              <w:rPr>
                <w:rFonts w:cs="Arial"/>
                <w:sz w:val="16"/>
                <w:szCs w:val="16"/>
              </w:rPr>
              <w:t>10.</w:t>
            </w:r>
            <w:r w:rsidR="00F17189">
              <w:rPr>
                <w:rFonts w:cs="Arial"/>
                <w:sz w:val="16"/>
                <w:szCs w:val="16"/>
              </w:rPr>
              <w:t>5</w:t>
            </w:r>
          </w:p>
        </w:tc>
      </w:tr>
      <w:tr w:rsidR="00E86B50" w:rsidRPr="00505C77" w:rsidTr="00265B2D">
        <w:trPr>
          <w:cantSplit/>
          <w:trHeight w:val="340"/>
        </w:trPr>
        <w:tc>
          <w:tcPr>
            <w:tcW w:w="2127" w:type="dxa"/>
            <w:vMerge w:val="restart"/>
            <w:tcBorders>
              <w:top w:val="single" w:sz="4" w:space="0" w:color="auto"/>
              <w:left w:val="single" w:sz="4" w:space="0" w:color="auto"/>
              <w:right w:val="single" w:sz="4" w:space="0" w:color="auto"/>
            </w:tcBorders>
            <w:vAlign w:val="center"/>
          </w:tcPr>
          <w:p w:rsidR="00E86B50" w:rsidRPr="007B1074" w:rsidRDefault="00E86B50" w:rsidP="00E86B50">
            <w:pPr>
              <w:rPr>
                <w:rFonts w:cs="Arial"/>
                <w:sz w:val="16"/>
                <w:szCs w:val="16"/>
              </w:rPr>
            </w:pPr>
            <w:r w:rsidRPr="007B1074">
              <w:rPr>
                <w:rFonts w:cs="Arial"/>
                <w:sz w:val="16"/>
                <w:szCs w:val="16"/>
              </w:rPr>
              <w:t>Direction des travaux</w:t>
            </w:r>
          </w:p>
        </w:tc>
        <w:tc>
          <w:tcPr>
            <w:tcW w:w="5103" w:type="dxa"/>
            <w:tcBorders>
              <w:left w:val="single" w:sz="4" w:space="0" w:color="auto"/>
            </w:tcBorders>
            <w:vAlign w:val="center"/>
          </w:tcPr>
          <w:p w:rsidR="00E86B50" w:rsidRPr="007B1074" w:rsidRDefault="00E86B50" w:rsidP="00E86B50">
            <w:pPr>
              <w:rPr>
                <w:rFonts w:cs="Arial"/>
                <w:sz w:val="16"/>
                <w:szCs w:val="16"/>
              </w:rPr>
            </w:pPr>
            <w:r w:rsidRPr="007B1074">
              <w:rPr>
                <w:rFonts w:cs="Arial"/>
                <w:sz w:val="16"/>
                <w:szCs w:val="16"/>
              </w:rPr>
              <w:t>Proportionnellement à l’avancement des travaux.</w:t>
            </w:r>
          </w:p>
        </w:tc>
        <w:tc>
          <w:tcPr>
            <w:tcW w:w="2407" w:type="dxa"/>
            <w:vAlign w:val="center"/>
          </w:tcPr>
          <w:p w:rsidR="00E86B50" w:rsidRPr="007B1074" w:rsidRDefault="00E86B50" w:rsidP="00E86B50">
            <w:pPr>
              <w:jc w:val="center"/>
              <w:rPr>
                <w:rFonts w:cs="Arial"/>
                <w:sz w:val="16"/>
                <w:szCs w:val="16"/>
              </w:rPr>
            </w:pPr>
            <w:r w:rsidRPr="007B1074">
              <w:rPr>
                <w:rFonts w:cs="Arial"/>
                <w:sz w:val="16"/>
                <w:szCs w:val="16"/>
              </w:rPr>
              <w:t>90 %</w:t>
            </w:r>
          </w:p>
        </w:tc>
        <w:tc>
          <w:tcPr>
            <w:tcW w:w="5669" w:type="dxa"/>
            <w:vAlign w:val="center"/>
          </w:tcPr>
          <w:p w:rsidR="00E86B50" w:rsidRPr="007B1074" w:rsidRDefault="00F17189" w:rsidP="00E86B50">
            <w:pPr>
              <w:rPr>
                <w:rFonts w:cs="Arial"/>
                <w:sz w:val="16"/>
                <w:szCs w:val="16"/>
              </w:rPr>
            </w:pPr>
            <w:r w:rsidRPr="007B1074">
              <w:rPr>
                <w:rFonts w:cs="Arial"/>
                <w:sz w:val="16"/>
                <w:szCs w:val="16"/>
              </w:rPr>
              <w:t xml:space="preserve">Voir </w:t>
            </w:r>
            <w:r>
              <w:rPr>
                <w:rFonts w:cs="Arial"/>
                <w:sz w:val="16"/>
                <w:szCs w:val="16"/>
              </w:rPr>
              <w:t>10.5</w:t>
            </w:r>
          </w:p>
        </w:tc>
      </w:tr>
      <w:tr w:rsidR="00E86B50" w:rsidRPr="00505C77" w:rsidTr="00265B2D">
        <w:trPr>
          <w:cantSplit/>
          <w:trHeight w:val="340"/>
        </w:trPr>
        <w:tc>
          <w:tcPr>
            <w:tcW w:w="2127" w:type="dxa"/>
            <w:vMerge/>
            <w:tcBorders>
              <w:left w:val="single" w:sz="4" w:space="0" w:color="auto"/>
              <w:bottom w:val="single" w:sz="4" w:space="0" w:color="auto"/>
              <w:right w:val="single" w:sz="4" w:space="0" w:color="auto"/>
            </w:tcBorders>
            <w:vAlign w:val="center"/>
          </w:tcPr>
          <w:p w:rsidR="00E86B50" w:rsidRPr="007B1074" w:rsidRDefault="00E86B50" w:rsidP="00E86B50">
            <w:pPr>
              <w:rPr>
                <w:rFonts w:cs="Arial"/>
                <w:sz w:val="16"/>
                <w:szCs w:val="16"/>
              </w:rPr>
            </w:pPr>
          </w:p>
        </w:tc>
        <w:tc>
          <w:tcPr>
            <w:tcW w:w="5103" w:type="dxa"/>
            <w:tcBorders>
              <w:left w:val="single" w:sz="4" w:space="0" w:color="auto"/>
            </w:tcBorders>
            <w:vAlign w:val="center"/>
          </w:tcPr>
          <w:p w:rsidR="00E86B50" w:rsidRPr="007B1074" w:rsidRDefault="00E86B50" w:rsidP="00E86B50">
            <w:pPr>
              <w:rPr>
                <w:rFonts w:cs="Arial"/>
                <w:sz w:val="16"/>
                <w:szCs w:val="16"/>
              </w:rPr>
            </w:pPr>
            <w:r w:rsidRPr="007B1074">
              <w:rPr>
                <w:rFonts w:cs="Arial"/>
                <w:sz w:val="16"/>
                <w:szCs w:val="16"/>
              </w:rPr>
              <w:t>Signature par le MOA de l’ensemble des Décomptes généraux.</w:t>
            </w:r>
          </w:p>
        </w:tc>
        <w:tc>
          <w:tcPr>
            <w:tcW w:w="2407" w:type="dxa"/>
            <w:vAlign w:val="center"/>
          </w:tcPr>
          <w:p w:rsidR="00E86B50" w:rsidRPr="007B1074" w:rsidRDefault="00E86B50" w:rsidP="00E86B50">
            <w:pPr>
              <w:jc w:val="center"/>
              <w:rPr>
                <w:rFonts w:cs="Arial"/>
                <w:sz w:val="16"/>
                <w:szCs w:val="16"/>
              </w:rPr>
            </w:pPr>
            <w:r w:rsidRPr="007B1074">
              <w:rPr>
                <w:rFonts w:cs="Arial"/>
                <w:sz w:val="16"/>
                <w:szCs w:val="16"/>
              </w:rPr>
              <w:t>10 %</w:t>
            </w:r>
          </w:p>
        </w:tc>
        <w:tc>
          <w:tcPr>
            <w:tcW w:w="5669" w:type="dxa"/>
            <w:vAlign w:val="center"/>
          </w:tcPr>
          <w:p w:rsidR="00E86B50" w:rsidRPr="007B1074" w:rsidRDefault="00E86B50" w:rsidP="00E86B50">
            <w:pPr>
              <w:rPr>
                <w:sz w:val="16"/>
                <w:szCs w:val="16"/>
              </w:rPr>
            </w:pPr>
            <w:r w:rsidRPr="007B1074">
              <w:rPr>
                <w:rFonts w:cs="Arial"/>
                <w:sz w:val="16"/>
                <w:szCs w:val="16"/>
              </w:rPr>
              <w:t xml:space="preserve">Voir </w:t>
            </w:r>
            <w:r>
              <w:rPr>
                <w:rFonts w:cs="Arial"/>
                <w:sz w:val="16"/>
                <w:szCs w:val="16"/>
              </w:rPr>
              <w:t>10.2.3</w:t>
            </w:r>
          </w:p>
        </w:tc>
      </w:tr>
      <w:tr w:rsidR="00E86B50" w:rsidRPr="00505C77" w:rsidTr="00265B2D">
        <w:trPr>
          <w:cantSplit/>
          <w:trHeight w:val="380"/>
        </w:trPr>
        <w:tc>
          <w:tcPr>
            <w:tcW w:w="2127" w:type="dxa"/>
            <w:vMerge w:val="restart"/>
            <w:tcBorders>
              <w:top w:val="single" w:sz="4" w:space="0" w:color="auto"/>
              <w:left w:val="single" w:sz="4" w:space="0" w:color="auto"/>
              <w:right w:val="single" w:sz="4" w:space="0" w:color="auto"/>
            </w:tcBorders>
            <w:vAlign w:val="center"/>
          </w:tcPr>
          <w:p w:rsidR="00E86B50" w:rsidRPr="007B1074" w:rsidRDefault="00E86B50" w:rsidP="00E86B50">
            <w:pPr>
              <w:rPr>
                <w:rFonts w:cs="Arial"/>
                <w:sz w:val="16"/>
                <w:szCs w:val="16"/>
              </w:rPr>
            </w:pPr>
            <w:r w:rsidRPr="007B1074">
              <w:rPr>
                <w:rFonts w:cs="Arial"/>
                <w:sz w:val="16"/>
                <w:szCs w:val="16"/>
              </w:rPr>
              <w:t>OPC</w:t>
            </w:r>
          </w:p>
        </w:tc>
        <w:tc>
          <w:tcPr>
            <w:tcW w:w="5103" w:type="dxa"/>
            <w:tcBorders>
              <w:left w:val="single" w:sz="4" w:space="0" w:color="auto"/>
            </w:tcBorders>
            <w:vAlign w:val="center"/>
          </w:tcPr>
          <w:p w:rsidR="00E86B50" w:rsidRPr="007B1074" w:rsidRDefault="00E86B50" w:rsidP="00E86B50">
            <w:pPr>
              <w:rPr>
                <w:rFonts w:cs="Arial"/>
                <w:sz w:val="16"/>
                <w:szCs w:val="16"/>
              </w:rPr>
            </w:pPr>
            <w:r w:rsidRPr="007B1074">
              <w:rPr>
                <w:rFonts w:cs="Arial"/>
                <w:sz w:val="16"/>
                <w:szCs w:val="16"/>
              </w:rPr>
              <w:t>Proportionnellement à l'avancement des travaux</w:t>
            </w:r>
          </w:p>
        </w:tc>
        <w:tc>
          <w:tcPr>
            <w:tcW w:w="2407" w:type="dxa"/>
            <w:vAlign w:val="center"/>
          </w:tcPr>
          <w:p w:rsidR="00E86B50" w:rsidRPr="007B1074" w:rsidRDefault="00E86B50" w:rsidP="00E86B50">
            <w:pPr>
              <w:pStyle w:val="Retraitnormal"/>
              <w:ind w:left="0"/>
              <w:jc w:val="center"/>
              <w:rPr>
                <w:rFonts w:ascii="Verdana" w:hAnsi="Verdana" w:cs="Arial"/>
                <w:sz w:val="16"/>
                <w:szCs w:val="16"/>
              </w:rPr>
            </w:pPr>
            <w:r w:rsidRPr="007B1074">
              <w:rPr>
                <w:rFonts w:ascii="Verdana" w:hAnsi="Verdana" w:cs="Arial"/>
                <w:sz w:val="16"/>
                <w:szCs w:val="16"/>
              </w:rPr>
              <w:t>90%</w:t>
            </w:r>
          </w:p>
        </w:tc>
        <w:tc>
          <w:tcPr>
            <w:tcW w:w="5669" w:type="dxa"/>
            <w:vAlign w:val="center"/>
          </w:tcPr>
          <w:p w:rsidR="00E86B50" w:rsidRPr="007B1074" w:rsidRDefault="00F17189" w:rsidP="00E86B50">
            <w:pPr>
              <w:rPr>
                <w:rFonts w:cs="Arial"/>
                <w:sz w:val="16"/>
                <w:szCs w:val="16"/>
              </w:rPr>
            </w:pPr>
            <w:r w:rsidRPr="007B1074">
              <w:rPr>
                <w:rFonts w:cs="Arial"/>
                <w:sz w:val="16"/>
                <w:szCs w:val="16"/>
              </w:rPr>
              <w:t xml:space="preserve">Voir </w:t>
            </w:r>
            <w:r>
              <w:rPr>
                <w:rFonts w:cs="Arial"/>
                <w:sz w:val="16"/>
                <w:szCs w:val="16"/>
              </w:rPr>
              <w:t>10.5</w:t>
            </w:r>
          </w:p>
        </w:tc>
      </w:tr>
      <w:tr w:rsidR="00E86B50" w:rsidRPr="00505C77" w:rsidTr="00265B2D">
        <w:trPr>
          <w:cantSplit/>
          <w:trHeight w:val="414"/>
        </w:trPr>
        <w:tc>
          <w:tcPr>
            <w:tcW w:w="2127" w:type="dxa"/>
            <w:vMerge/>
            <w:tcBorders>
              <w:left w:val="single" w:sz="4" w:space="0" w:color="auto"/>
              <w:right w:val="single" w:sz="4" w:space="0" w:color="auto"/>
            </w:tcBorders>
            <w:vAlign w:val="center"/>
          </w:tcPr>
          <w:p w:rsidR="00E86B50" w:rsidRPr="007B1074" w:rsidRDefault="00E86B50" w:rsidP="00E86B50">
            <w:pPr>
              <w:rPr>
                <w:rFonts w:cs="Arial"/>
                <w:sz w:val="16"/>
                <w:szCs w:val="16"/>
              </w:rPr>
            </w:pPr>
          </w:p>
        </w:tc>
        <w:tc>
          <w:tcPr>
            <w:tcW w:w="5103" w:type="dxa"/>
            <w:tcBorders>
              <w:left w:val="single" w:sz="4" w:space="0" w:color="auto"/>
            </w:tcBorders>
            <w:vAlign w:val="center"/>
          </w:tcPr>
          <w:p w:rsidR="00E86B50" w:rsidRPr="007B1074" w:rsidRDefault="00E86B50" w:rsidP="00E86B50">
            <w:pPr>
              <w:rPr>
                <w:rFonts w:cs="Arial"/>
                <w:sz w:val="16"/>
                <w:szCs w:val="16"/>
              </w:rPr>
            </w:pPr>
            <w:r w:rsidRPr="007B1074">
              <w:rPr>
                <w:rFonts w:cs="Arial"/>
                <w:sz w:val="16"/>
                <w:szCs w:val="16"/>
              </w:rPr>
              <w:t>Réception par le MOA du rapport final OPC</w:t>
            </w:r>
          </w:p>
        </w:tc>
        <w:tc>
          <w:tcPr>
            <w:tcW w:w="2407" w:type="dxa"/>
            <w:vAlign w:val="center"/>
          </w:tcPr>
          <w:p w:rsidR="00E86B50" w:rsidRPr="007B1074" w:rsidRDefault="00E86B50" w:rsidP="00E86B50">
            <w:pPr>
              <w:pStyle w:val="Retraitnormal"/>
              <w:ind w:left="0"/>
              <w:jc w:val="center"/>
              <w:rPr>
                <w:rFonts w:ascii="Verdana" w:hAnsi="Verdana" w:cs="Arial"/>
                <w:sz w:val="16"/>
                <w:szCs w:val="16"/>
              </w:rPr>
            </w:pPr>
            <w:r w:rsidRPr="007B1074">
              <w:rPr>
                <w:rFonts w:ascii="Verdana" w:hAnsi="Verdana" w:cs="Arial"/>
                <w:sz w:val="16"/>
                <w:szCs w:val="16"/>
              </w:rPr>
              <w:t>10%</w:t>
            </w:r>
          </w:p>
        </w:tc>
        <w:tc>
          <w:tcPr>
            <w:tcW w:w="5669" w:type="dxa"/>
            <w:vAlign w:val="center"/>
          </w:tcPr>
          <w:p w:rsidR="00E86B50" w:rsidRPr="007B1074" w:rsidRDefault="00467126" w:rsidP="00E86B50">
            <w:pPr>
              <w:rPr>
                <w:rFonts w:cs="Arial"/>
                <w:sz w:val="16"/>
                <w:szCs w:val="16"/>
              </w:rPr>
            </w:pPr>
            <w:r w:rsidRPr="007B1074">
              <w:rPr>
                <w:rFonts w:cs="Arial"/>
                <w:sz w:val="16"/>
                <w:szCs w:val="16"/>
              </w:rPr>
              <w:t xml:space="preserve">Voir </w:t>
            </w:r>
            <w:r>
              <w:rPr>
                <w:rFonts w:cs="Arial"/>
                <w:sz w:val="16"/>
                <w:szCs w:val="16"/>
              </w:rPr>
              <w:t>10.2.4</w:t>
            </w:r>
          </w:p>
        </w:tc>
      </w:tr>
      <w:tr w:rsidR="00E86B50" w:rsidRPr="00505C77" w:rsidTr="00265B2D">
        <w:trPr>
          <w:cantSplit/>
          <w:trHeight w:val="567"/>
        </w:trPr>
        <w:tc>
          <w:tcPr>
            <w:tcW w:w="2127" w:type="dxa"/>
            <w:vMerge w:val="restart"/>
            <w:tcBorders>
              <w:top w:val="single" w:sz="4" w:space="0" w:color="auto"/>
              <w:left w:val="single" w:sz="4" w:space="0" w:color="auto"/>
              <w:right w:val="single" w:sz="4" w:space="0" w:color="auto"/>
            </w:tcBorders>
            <w:vAlign w:val="center"/>
          </w:tcPr>
          <w:p w:rsidR="00E86B50" w:rsidRPr="007B1074" w:rsidRDefault="00E86B50" w:rsidP="00265B2D">
            <w:pPr>
              <w:rPr>
                <w:rFonts w:cs="Arial"/>
                <w:sz w:val="16"/>
                <w:szCs w:val="16"/>
              </w:rPr>
            </w:pPr>
            <w:r w:rsidRPr="007B1074">
              <w:rPr>
                <w:rFonts w:cs="Arial"/>
                <w:sz w:val="16"/>
                <w:szCs w:val="16"/>
              </w:rPr>
              <w:t>Assistance aux opérations de réception</w:t>
            </w:r>
          </w:p>
        </w:tc>
        <w:tc>
          <w:tcPr>
            <w:tcW w:w="5103" w:type="dxa"/>
            <w:tcBorders>
              <w:left w:val="single" w:sz="4" w:space="0" w:color="auto"/>
            </w:tcBorders>
            <w:vAlign w:val="center"/>
          </w:tcPr>
          <w:p w:rsidR="00E86B50" w:rsidRPr="007B1074" w:rsidRDefault="00E86B50" w:rsidP="00E86B50">
            <w:pPr>
              <w:rPr>
                <w:rFonts w:cs="Arial"/>
                <w:sz w:val="16"/>
                <w:szCs w:val="16"/>
              </w:rPr>
            </w:pPr>
            <w:r w:rsidRPr="007B1074">
              <w:rPr>
                <w:rFonts w:cs="Arial"/>
                <w:sz w:val="16"/>
                <w:szCs w:val="16"/>
              </w:rPr>
              <w:t>Réception des travaux.</w:t>
            </w:r>
          </w:p>
          <w:p w:rsidR="00E86B50" w:rsidRPr="007B1074" w:rsidRDefault="00E86B50" w:rsidP="00E86B50">
            <w:pPr>
              <w:rPr>
                <w:rFonts w:cs="Arial"/>
                <w:sz w:val="16"/>
                <w:szCs w:val="16"/>
              </w:rPr>
            </w:pPr>
            <w:r w:rsidRPr="007B1074">
              <w:rPr>
                <w:rFonts w:cs="Arial"/>
                <w:sz w:val="16"/>
                <w:szCs w:val="16"/>
              </w:rPr>
              <w:t>Levées de réserves.</w:t>
            </w:r>
          </w:p>
        </w:tc>
        <w:tc>
          <w:tcPr>
            <w:tcW w:w="2407" w:type="dxa"/>
            <w:vMerge w:val="restart"/>
            <w:vAlign w:val="center"/>
          </w:tcPr>
          <w:p w:rsidR="00E86B50" w:rsidRPr="007B1074" w:rsidRDefault="00E86B50" w:rsidP="00E86B50">
            <w:pPr>
              <w:pStyle w:val="Retraitnormal"/>
              <w:ind w:left="0"/>
              <w:jc w:val="center"/>
              <w:rPr>
                <w:rFonts w:ascii="Verdana" w:hAnsi="Verdana" w:cs="Arial"/>
                <w:sz w:val="16"/>
                <w:szCs w:val="16"/>
              </w:rPr>
            </w:pPr>
            <w:r w:rsidRPr="007B1074">
              <w:rPr>
                <w:rFonts w:ascii="Verdana" w:hAnsi="Verdana" w:cs="Arial"/>
                <w:sz w:val="16"/>
                <w:szCs w:val="16"/>
              </w:rPr>
              <w:t>60%</w:t>
            </w:r>
          </w:p>
          <w:p w:rsidR="00E86B50" w:rsidRPr="007B1074" w:rsidRDefault="00E86B50" w:rsidP="00E86B50">
            <w:pPr>
              <w:pStyle w:val="Retraitnormal"/>
              <w:ind w:left="0"/>
              <w:jc w:val="center"/>
              <w:rPr>
                <w:rFonts w:ascii="Verdana" w:hAnsi="Verdana" w:cs="Arial"/>
                <w:sz w:val="16"/>
                <w:szCs w:val="16"/>
              </w:rPr>
            </w:pPr>
            <w:r w:rsidRPr="007B1074">
              <w:rPr>
                <w:rFonts w:ascii="Verdana" w:hAnsi="Verdana" w:cs="Arial"/>
                <w:sz w:val="16"/>
                <w:szCs w:val="16"/>
              </w:rPr>
              <w:t>15%</w:t>
            </w:r>
          </w:p>
          <w:p w:rsidR="00E86B50" w:rsidRPr="007B1074" w:rsidRDefault="00E86B50" w:rsidP="00E86B50">
            <w:pPr>
              <w:pStyle w:val="Retraitnormal"/>
              <w:ind w:left="0"/>
              <w:jc w:val="center"/>
              <w:rPr>
                <w:rFonts w:ascii="Verdana" w:hAnsi="Verdana" w:cs="Arial"/>
                <w:sz w:val="16"/>
                <w:szCs w:val="16"/>
              </w:rPr>
            </w:pPr>
          </w:p>
          <w:p w:rsidR="00E86B50" w:rsidRPr="007B1074" w:rsidRDefault="00E86B50" w:rsidP="00E86B50">
            <w:pPr>
              <w:pStyle w:val="Retraitnormal"/>
              <w:ind w:left="0"/>
              <w:jc w:val="center"/>
              <w:rPr>
                <w:rFonts w:ascii="Verdana" w:hAnsi="Verdana" w:cs="Arial"/>
                <w:sz w:val="16"/>
                <w:szCs w:val="16"/>
              </w:rPr>
            </w:pPr>
            <w:r w:rsidRPr="007B1074">
              <w:rPr>
                <w:rFonts w:ascii="Verdana" w:hAnsi="Verdana" w:cs="Arial"/>
                <w:sz w:val="16"/>
                <w:szCs w:val="16"/>
              </w:rPr>
              <w:t>10%</w:t>
            </w:r>
          </w:p>
        </w:tc>
        <w:tc>
          <w:tcPr>
            <w:tcW w:w="5669" w:type="dxa"/>
            <w:vAlign w:val="center"/>
          </w:tcPr>
          <w:p w:rsidR="00E86B50" w:rsidRPr="007B1074" w:rsidRDefault="00467126" w:rsidP="00E86B50">
            <w:pPr>
              <w:rPr>
                <w:sz w:val="16"/>
                <w:szCs w:val="16"/>
              </w:rPr>
            </w:pPr>
            <w:r w:rsidRPr="007B1074">
              <w:rPr>
                <w:rFonts w:cs="Arial"/>
                <w:sz w:val="16"/>
                <w:szCs w:val="16"/>
              </w:rPr>
              <w:t xml:space="preserve">Voir </w:t>
            </w:r>
            <w:r>
              <w:rPr>
                <w:rFonts w:cs="Arial"/>
                <w:sz w:val="16"/>
                <w:szCs w:val="16"/>
              </w:rPr>
              <w:t>10.2.4</w:t>
            </w:r>
          </w:p>
        </w:tc>
      </w:tr>
      <w:tr w:rsidR="00E86B50" w:rsidRPr="00505C77" w:rsidTr="00265B2D">
        <w:trPr>
          <w:cantSplit/>
          <w:trHeight w:val="340"/>
        </w:trPr>
        <w:tc>
          <w:tcPr>
            <w:tcW w:w="2127" w:type="dxa"/>
            <w:vMerge/>
            <w:tcBorders>
              <w:left w:val="single" w:sz="4" w:space="0" w:color="auto"/>
              <w:right w:val="single" w:sz="4" w:space="0" w:color="auto"/>
            </w:tcBorders>
            <w:vAlign w:val="center"/>
          </w:tcPr>
          <w:p w:rsidR="00E86B50" w:rsidRPr="007B1074" w:rsidRDefault="00E86B50" w:rsidP="00E86B50">
            <w:pPr>
              <w:rPr>
                <w:rFonts w:cs="Arial"/>
                <w:sz w:val="16"/>
                <w:szCs w:val="16"/>
              </w:rPr>
            </w:pPr>
          </w:p>
        </w:tc>
        <w:tc>
          <w:tcPr>
            <w:tcW w:w="5103" w:type="dxa"/>
            <w:tcBorders>
              <w:left w:val="single" w:sz="4" w:space="0" w:color="auto"/>
            </w:tcBorders>
            <w:vAlign w:val="center"/>
          </w:tcPr>
          <w:p w:rsidR="00E86B50" w:rsidRPr="007B1074" w:rsidRDefault="00E86B50" w:rsidP="00E86B50">
            <w:pPr>
              <w:rPr>
                <w:rFonts w:cs="Arial"/>
                <w:sz w:val="16"/>
                <w:szCs w:val="16"/>
              </w:rPr>
            </w:pPr>
            <w:r w:rsidRPr="007B1074">
              <w:rPr>
                <w:rFonts w:cs="Arial"/>
                <w:sz w:val="16"/>
                <w:szCs w:val="16"/>
              </w:rPr>
              <w:t>Admission par le Maître d’ouvrage du dossier « </w:t>
            </w:r>
            <w:proofErr w:type="spellStart"/>
            <w:r w:rsidRPr="007B1074">
              <w:rPr>
                <w:rFonts w:cs="Arial"/>
                <w:smallCaps/>
                <w:sz w:val="16"/>
                <w:szCs w:val="16"/>
              </w:rPr>
              <w:t>d.o.e</w:t>
            </w:r>
            <w:proofErr w:type="spellEnd"/>
            <w:r w:rsidRPr="007B1074">
              <w:rPr>
                <w:rFonts w:cs="Arial"/>
                <w:smallCaps/>
                <w:sz w:val="16"/>
                <w:szCs w:val="16"/>
              </w:rPr>
              <w:t>.</w:t>
            </w:r>
            <w:r w:rsidRPr="007B1074">
              <w:rPr>
                <w:rFonts w:cs="Arial"/>
                <w:sz w:val="16"/>
                <w:szCs w:val="16"/>
              </w:rPr>
              <w:t> ».</w:t>
            </w:r>
          </w:p>
        </w:tc>
        <w:tc>
          <w:tcPr>
            <w:tcW w:w="2407" w:type="dxa"/>
            <w:vMerge/>
            <w:vAlign w:val="center"/>
          </w:tcPr>
          <w:p w:rsidR="00E86B50" w:rsidRPr="007B1074" w:rsidRDefault="00E86B50" w:rsidP="00E86B50">
            <w:pPr>
              <w:pStyle w:val="Retraitnormal"/>
              <w:ind w:left="0"/>
              <w:jc w:val="center"/>
              <w:rPr>
                <w:rFonts w:ascii="Verdana" w:hAnsi="Verdana" w:cs="Arial"/>
                <w:sz w:val="16"/>
                <w:szCs w:val="16"/>
              </w:rPr>
            </w:pPr>
          </w:p>
        </w:tc>
        <w:tc>
          <w:tcPr>
            <w:tcW w:w="5669" w:type="dxa"/>
            <w:vAlign w:val="center"/>
          </w:tcPr>
          <w:p w:rsidR="00E86B50" w:rsidRPr="007B1074" w:rsidRDefault="004A3BDD" w:rsidP="00E86B50">
            <w:pPr>
              <w:rPr>
                <w:sz w:val="16"/>
                <w:szCs w:val="16"/>
              </w:rPr>
            </w:pPr>
            <w:r w:rsidRPr="007B1074">
              <w:rPr>
                <w:rFonts w:cs="Arial"/>
                <w:sz w:val="16"/>
                <w:szCs w:val="16"/>
              </w:rPr>
              <w:t xml:space="preserve">Voir </w:t>
            </w:r>
            <w:r>
              <w:rPr>
                <w:rFonts w:cs="Arial"/>
                <w:sz w:val="16"/>
                <w:szCs w:val="16"/>
              </w:rPr>
              <w:t>10.2.5</w:t>
            </w:r>
          </w:p>
        </w:tc>
      </w:tr>
      <w:tr w:rsidR="00E86B50" w:rsidRPr="004315CA" w:rsidTr="00265B2D">
        <w:trPr>
          <w:cantSplit/>
          <w:trHeight w:val="340"/>
        </w:trPr>
        <w:tc>
          <w:tcPr>
            <w:tcW w:w="2127" w:type="dxa"/>
            <w:vMerge/>
            <w:tcBorders>
              <w:left w:val="single" w:sz="4" w:space="0" w:color="auto"/>
              <w:right w:val="single" w:sz="4" w:space="0" w:color="auto"/>
            </w:tcBorders>
            <w:vAlign w:val="center"/>
          </w:tcPr>
          <w:p w:rsidR="00E86B50" w:rsidRPr="007B1074" w:rsidRDefault="00E86B50" w:rsidP="00E86B50">
            <w:pPr>
              <w:rPr>
                <w:rFonts w:cs="Arial"/>
                <w:sz w:val="16"/>
                <w:szCs w:val="16"/>
              </w:rPr>
            </w:pPr>
          </w:p>
        </w:tc>
        <w:tc>
          <w:tcPr>
            <w:tcW w:w="5103" w:type="dxa"/>
            <w:tcBorders>
              <w:left w:val="single" w:sz="4" w:space="0" w:color="auto"/>
            </w:tcBorders>
            <w:vAlign w:val="center"/>
          </w:tcPr>
          <w:p w:rsidR="00E86B50" w:rsidRPr="007B1074" w:rsidRDefault="00E86B50" w:rsidP="00E86B50">
            <w:pPr>
              <w:rPr>
                <w:rFonts w:cs="Arial"/>
                <w:sz w:val="16"/>
                <w:szCs w:val="16"/>
              </w:rPr>
            </w:pPr>
            <w:r w:rsidRPr="007B1074">
              <w:rPr>
                <w:rFonts w:cs="Arial"/>
                <w:sz w:val="16"/>
                <w:szCs w:val="16"/>
              </w:rPr>
              <w:t>Fin du délai de garantie de parfait achèvement</w:t>
            </w:r>
          </w:p>
        </w:tc>
        <w:tc>
          <w:tcPr>
            <w:tcW w:w="2407" w:type="dxa"/>
            <w:vAlign w:val="center"/>
          </w:tcPr>
          <w:p w:rsidR="00E86B50" w:rsidRPr="007B1074" w:rsidRDefault="00E86B50" w:rsidP="00E86B50">
            <w:pPr>
              <w:pStyle w:val="Retraitnormal"/>
              <w:ind w:left="0"/>
              <w:jc w:val="center"/>
              <w:rPr>
                <w:rFonts w:ascii="Verdana" w:hAnsi="Verdana" w:cs="Arial"/>
                <w:sz w:val="16"/>
                <w:szCs w:val="16"/>
              </w:rPr>
            </w:pPr>
            <w:r w:rsidRPr="007B1074">
              <w:rPr>
                <w:rFonts w:ascii="Verdana" w:hAnsi="Verdana" w:cs="Arial"/>
                <w:sz w:val="16"/>
                <w:szCs w:val="16"/>
              </w:rPr>
              <w:t>15%</w:t>
            </w:r>
          </w:p>
        </w:tc>
        <w:tc>
          <w:tcPr>
            <w:tcW w:w="5669" w:type="dxa"/>
            <w:vAlign w:val="center"/>
          </w:tcPr>
          <w:p w:rsidR="00E86B50" w:rsidRPr="007B1074" w:rsidRDefault="00E86B50" w:rsidP="00E86B50">
            <w:pPr>
              <w:rPr>
                <w:sz w:val="16"/>
                <w:szCs w:val="16"/>
              </w:rPr>
            </w:pPr>
          </w:p>
        </w:tc>
      </w:tr>
    </w:tbl>
    <w:p w:rsidR="004F5C27" w:rsidRDefault="004F5C27" w:rsidP="00191DD4">
      <w:pPr>
        <w:rPr>
          <w:rFonts w:cs="Verdana"/>
          <w:szCs w:val="18"/>
          <w:u w:val="single"/>
        </w:rPr>
        <w:sectPr w:rsidR="004F5C27" w:rsidSect="004F5C27">
          <w:pgSz w:w="16838" w:h="11906" w:orient="landscape"/>
          <w:pgMar w:top="1134" w:right="1134" w:bottom="1134" w:left="709" w:header="709" w:footer="479" w:gutter="0"/>
          <w:cols w:space="708"/>
          <w:titlePg/>
          <w:docGrid w:linePitch="360"/>
        </w:sectPr>
      </w:pPr>
    </w:p>
    <w:p w:rsidR="00265B2D" w:rsidRDefault="00265B2D" w:rsidP="000A1E97">
      <w:pPr>
        <w:ind w:firstLine="708"/>
        <w:rPr>
          <w:i/>
          <w:u w:val="single"/>
        </w:rPr>
      </w:pPr>
    </w:p>
    <w:p w:rsidR="000A1E97" w:rsidRPr="000A1E97" w:rsidRDefault="000A1E97" w:rsidP="000A1E97">
      <w:pPr>
        <w:ind w:firstLine="708"/>
      </w:pPr>
      <w:r w:rsidRPr="003F015F">
        <w:rPr>
          <w:i/>
          <w:u w:val="single"/>
        </w:rPr>
        <w:t>10.</w:t>
      </w:r>
      <w:r w:rsidR="00E86B50">
        <w:rPr>
          <w:i/>
          <w:u w:val="single"/>
        </w:rPr>
        <w:t>2</w:t>
      </w:r>
      <w:r w:rsidRPr="003F015F">
        <w:rPr>
          <w:i/>
          <w:u w:val="single"/>
        </w:rPr>
        <w:t>.</w:t>
      </w:r>
      <w:r w:rsidR="00E86B50">
        <w:rPr>
          <w:i/>
          <w:u w:val="single"/>
        </w:rPr>
        <w:t>1</w:t>
      </w:r>
      <w:r>
        <w:rPr>
          <w:i/>
          <w:u w:val="single"/>
        </w:rPr>
        <w:t xml:space="preserve"> </w:t>
      </w:r>
      <w:r>
        <w:t>« l’admission</w:t>
      </w:r>
      <w:r w:rsidRPr="000A1E97">
        <w:t xml:space="preserve"> » est la décision du Maître d’ouvrage prévue à l’article 2</w:t>
      </w:r>
      <w:r>
        <w:t>1</w:t>
      </w:r>
      <w:r w:rsidRPr="000A1E97">
        <w:t xml:space="preserve"> du CCAG, étant rappelé</w:t>
      </w:r>
      <w:r>
        <w:t xml:space="preserve"> </w:t>
      </w:r>
      <w:r w:rsidRPr="000A1E97">
        <w:t>qu’il y a « réception des prestations si elles répondent aux stipulations du marché ».</w:t>
      </w:r>
    </w:p>
    <w:p w:rsidR="000A1E97" w:rsidRPr="000A1E97" w:rsidRDefault="000A1E97" w:rsidP="000A1E97">
      <w:r w:rsidRPr="000A1E97">
        <w:t>La réception ne fait pas obstacle à ce que le Maître d’ouvrage stipule des directives, souhaits,</w:t>
      </w:r>
      <w:r>
        <w:t xml:space="preserve"> </w:t>
      </w:r>
      <w:r w:rsidRPr="000A1E97">
        <w:t>observations à prendre en compte par le maître d’œuvre, dans les éléments à venir de sa mission.</w:t>
      </w:r>
    </w:p>
    <w:p w:rsidR="000A1E97" w:rsidRPr="000A1E97" w:rsidRDefault="000A1E97" w:rsidP="000A1E97">
      <w:r w:rsidRPr="000A1E97">
        <w:t>Dans tout autre cas, le Maître d’ouvrage utilise les autres possibilités prévues à l’article 2</w:t>
      </w:r>
      <w:r>
        <w:t>1</w:t>
      </w:r>
      <w:r w:rsidRPr="000A1E97">
        <w:t xml:space="preserve"> du CCAG :</w:t>
      </w:r>
    </w:p>
    <w:p w:rsidR="000A1E97" w:rsidRPr="000A1E97" w:rsidRDefault="000A1E97" w:rsidP="000A1E97">
      <w:pPr>
        <w:numPr>
          <w:ilvl w:val="0"/>
          <w:numId w:val="38"/>
        </w:numPr>
      </w:pPr>
      <w:r w:rsidRPr="000A1E97">
        <w:t>Ajournement.</w:t>
      </w:r>
    </w:p>
    <w:p w:rsidR="000A1E97" w:rsidRPr="000A1E97" w:rsidRDefault="000A1E97" w:rsidP="00980320">
      <w:pPr>
        <w:numPr>
          <w:ilvl w:val="0"/>
          <w:numId w:val="38"/>
        </w:numPr>
      </w:pPr>
      <w:r w:rsidRPr="000A1E97">
        <w:t>Réception avec réfaction (et dans ce cas, la valeur figurant à l’acte d’engagement est diminuée</w:t>
      </w:r>
      <w:r>
        <w:t xml:space="preserve"> </w:t>
      </w:r>
      <w:r w:rsidRPr="000A1E97">
        <w:t>du montant de la réfaction).</w:t>
      </w:r>
    </w:p>
    <w:p w:rsidR="000A1E97" w:rsidRPr="000A1E97" w:rsidRDefault="000A1E97" w:rsidP="000A1E97">
      <w:pPr>
        <w:numPr>
          <w:ilvl w:val="0"/>
          <w:numId w:val="38"/>
        </w:numPr>
      </w:pPr>
      <w:r w:rsidRPr="000A1E97">
        <w:t>Rejet.</w:t>
      </w:r>
    </w:p>
    <w:p w:rsidR="003F015F" w:rsidRPr="00F0343E" w:rsidRDefault="003F015F" w:rsidP="00191DD4">
      <w:pPr>
        <w:rPr>
          <w:rFonts w:cs="Verdana"/>
          <w:sz w:val="10"/>
          <w:szCs w:val="10"/>
          <w:u w:val="single"/>
        </w:rPr>
      </w:pPr>
    </w:p>
    <w:p w:rsidR="00E86B50" w:rsidRDefault="00E86B50" w:rsidP="00467126">
      <w:pPr>
        <w:ind w:firstLine="709"/>
        <w:rPr>
          <w:rFonts w:cs="Verdana"/>
          <w:szCs w:val="18"/>
        </w:rPr>
      </w:pPr>
      <w:r w:rsidRPr="00E86B50">
        <w:rPr>
          <w:rFonts w:cs="Verdana"/>
          <w:i/>
          <w:szCs w:val="18"/>
          <w:u w:val="single"/>
        </w:rPr>
        <w:t>10.2.3</w:t>
      </w:r>
      <w:r w:rsidR="00467126">
        <w:rPr>
          <w:rFonts w:cs="Verdana"/>
          <w:i/>
          <w:szCs w:val="18"/>
          <w:u w:val="single"/>
        </w:rPr>
        <w:t xml:space="preserve"> </w:t>
      </w:r>
      <w:r w:rsidR="00467126" w:rsidRPr="00467126">
        <w:rPr>
          <w:rFonts w:cs="Verdana"/>
          <w:szCs w:val="18"/>
        </w:rPr>
        <w:t>Après remise des décomptes généraux de travaux et acceptations du Maître d’ouvrage et des</w:t>
      </w:r>
      <w:r w:rsidR="00467126">
        <w:rPr>
          <w:rFonts w:cs="Verdana"/>
          <w:szCs w:val="18"/>
        </w:rPr>
        <w:t xml:space="preserve"> </w:t>
      </w:r>
      <w:r w:rsidR="00467126" w:rsidRPr="00467126">
        <w:rPr>
          <w:rFonts w:cs="Verdana"/>
          <w:szCs w:val="18"/>
        </w:rPr>
        <w:t>entreprises (il est possible de présenter plusieurs acomptes, espacés d'au moins un mois au fur et à</w:t>
      </w:r>
      <w:r w:rsidR="00467126">
        <w:rPr>
          <w:rFonts w:cs="Verdana"/>
          <w:szCs w:val="18"/>
        </w:rPr>
        <w:t xml:space="preserve"> </w:t>
      </w:r>
      <w:r w:rsidR="00467126" w:rsidRPr="00467126">
        <w:rPr>
          <w:rFonts w:cs="Verdana"/>
          <w:szCs w:val="18"/>
        </w:rPr>
        <w:t>mesure des acceptations des décomptes généraux).</w:t>
      </w:r>
    </w:p>
    <w:p w:rsidR="00467126" w:rsidRPr="00F0343E" w:rsidRDefault="00467126" w:rsidP="00467126">
      <w:pPr>
        <w:ind w:firstLine="709"/>
        <w:rPr>
          <w:rFonts w:cs="Verdana"/>
          <w:sz w:val="10"/>
          <w:szCs w:val="10"/>
        </w:rPr>
      </w:pPr>
    </w:p>
    <w:p w:rsidR="00467126" w:rsidRDefault="00467126" w:rsidP="00467126">
      <w:pPr>
        <w:ind w:firstLine="709"/>
        <w:rPr>
          <w:rFonts w:cs="Verdana"/>
          <w:szCs w:val="18"/>
        </w:rPr>
      </w:pPr>
      <w:r w:rsidRPr="00E86B50">
        <w:rPr>
          <w:rFonts w:cs="Verdana"/>
          <w:i/>
          <w:szCs w:val="18"/>
          <w:u w:val="single"/>
        </w:rPr>
        <w:t>10.2.</w:t>
      </w:r>
      <w:r>
        <w:rPr>
          <w:rFonts w:cs="Verdana"/>
          <w:i/>
          <w:szCs w:val="18"/>
          <w:u w:val="single"/>
        </w:rPr>
        <w:t xml:space="preserve">4 </w:t>
      </w:r>
      <w:r w:rsidRPr="00467126">
        <w:rPr>
          <w:rFonts w:cs="Verdana"/>
          <w:szCs w:val="18"/>
        </w:rPr>
        <w:t>Après exécution des opérations préalables à la réception et remise au Maître d’ouvrage des</w:t>
      </w:r>
      <w:r>
        <w:rPr>
          <w:rFonts w:cs="Verdana"/>
          <w:szCs w:val="18"/>
        </w:rPr>
        <w:t xml:space="preserve"> </w:t>
      </w:r>
      <w:r w:rsidRPr="00467126">
        <w:rPr>
          <w:rFonts w:cs="Verdana"/>
          <w:szCs w:val="18"/>
        </w:rPr>
        <w:t>dernières propositions du maître d’œuvre en vue de la réception (il est possible de présenter plusieurs</w:t>
      </w:r>
      <w:r>
        <w:rPr>
          <w:rFonts w:cs="Verdana"/>
          <w:szCs w:val="18"/>
        </w:rPr>
        <w:t xml:space="preserve"> </w:t>
      </w:r>
      <w:r w:rsidRPr="00467126">
        <w:rPr>
          <w:rFonts w:cs="Verdana"/>
          <w:szCs w:val="18"/>
        </w:rPr>
        <w:t>acomptes, espacés d'au moins un mois, en cas de réceptions partielles)</w:t>
      </w:r>
    </w:p>
    <w:p w:rsidR="00467126" w:rsidRPr="00F0343E" w:rsidRDefault="00467126" w:rsidP="00467126">
      <w:pPr>
        <w:ind w:firstLine="709"/>
        <w:rPr>
          <w:rFonts w:cs="Verdana"/>
          <w:sz w:val="10"/>
          <w:szCs w:val="10"/>
        </w:rPr>
      </w:pPr>
    </w:p>
    <w:p w:rsidR="00467126" w:rsidRPr="00467126" w:rsidRDefault="00467126" w:rsidP="00467126">
      <w:pPr>
        <w:ind w:firstLine="709"/>
        <w:rPr>
          <w:rFonts w:cs="Verdana"/>
          <w:szCs w:val="18"/>
        </w:rPr>
      </w:pPr>
      <w:r w:rsidRPr="00E86B50">
        <w:rPr>
          <w:rFonts w:cs="Verdana"/>
          <w:i/>
          <w:szCs w:val="18"/>
          <w:u w:val="single"/>
        </w:rPr>
        <w:t>10.2.</w:t>
      </w:r>
      <w:r>
        <w:rPr>
          <w:rFonts w:cs="Verdana"/>
          <w:i/>
          <w:szCs w:val="18"/>
          <w:u w:val="single"/>
        </w:rPr>
        <w:t xml:space="preserve">5 </w:t>
      </w:r>
      <w:r w:rsidRPr="00467126">
        <w:rPr>
          <w:rFonts w:cs="Verdana"/>
          <w:szCs w:val="18"/>
        </w:rPr>
        <w:t>Après que le Maître d’œuvre a rempli toutes ses obligations d’assistance au Maître d’ouvrage</w:t>
      </w:r>
      <w:r>
        <w:rPr>
          <w:rFonts w:cs="Verdana"/>
          <w:szCs w:val="18"/>
        </w:rPr>
        <w:t xml:space="preserve"> </w:t>
      </w:r>
      <w:r w:rsidRPr="00467126">
        <w:rPr>
          <w:rFonts w:cs="Verdana"/>
          <w:szCs w:val="18"/>
        </w:rPr>
        <w:t>suivant C.C.T.P, le solde des sommes dues au Maître d’œuvre sera versé dès la délivrance du procès</w:t>
      </w:r>
      <w:r>
        <w:rPr>
          <w:rFonts w:cs="Verdana"/>
          <w:szCs w:val="18"/>
        </w:rPr>
        <w:t>-</w:t>
      </w:r>
      <w:r w:rsidRPr="00467126">
        <w:rPr>
          <w:rFonts w:cs="Verdana"/>
          <w:szCs w:val="18"/>
        </w:rPr>
        <w:t>verbal</w:t>
      </w:r>
      <w:r>
        <w:rPr>
          <w:rFonts w:cs="Verdana"/>
          <w:szCs w:val="18"/>
        </w:rPr>
        <w:t xml:space="preserve"> </w:t>
      </w:r>
      <w:r w:rsidRPr="00467126">
        <w:rPr>
          <w:rFonts w:cs="Verdana"/>
          <w:szCs w:val="18"/>
        </w:rPr>
        <w:t>constatant que toutes les obligations découlant du marché de travaux ont été remplies.</w:t>
      </w:r>
    </w:p>
    <w:p w:rsidR="00191DD4" w:rsidRPr="00CA5850" w:rsidRDefault="00191DD4" w:rsidP="00F108DC">
      <w:pPr>
        <w:pStyle w:val="Txttitre1"/>
        <w:spacing w:before="0" w:line="240" w:lineRule="auto"/>
        <w:ind w:left="0"/>
        <w:rPr>
          <w:rFonts w:ascii="Verdana" w:hAnsi="Verdana" w:cs="Arial"/>
          <w:sz w:val="16"/>
          <w:szCs w:val="16"/>
        </w:rPr>
      </w:pPr>
    </w:p>
    <w:p w:rsidR="00191DD4" w:rsidRDefault="00191DD4" w:rsidP="003F015F">
      <w:pPr>
        <w:pStyle w:val="Titre2"/>
        <w:spacing w:before="0" w:after="0"/>
      </w:pPr>
      <w:bookmarkStart w:id="221" w:name="_Toc119597411"/>
      <w:bookmarkStart w:id="222" w:name="_Toc148692621"/>
      <w:bookmarkStart w:id="223" w:name="_Toc465261445"/>
      <w:bookmarkStart w:id="224" w:name="_Toc133586044"/>
      <w:bookmarkStart w:id="225" w:name="_Toc133586540"/>
      <w:bookmarkStart w:id="226" w:name="_Toc133586619"/>
      <w:bookmarkStart w:id="227" w:name="_Toc133586786"/>
      <w:r>
        <w:t>10.3 Facturation</w:t>
      </w:r>
      <w:bookmarkEnd w:id="221"/>
      <w:bookmarkEnd w:id="222"/>
      <w:r>
        <w:t xml:space="preserve"> </w:t>
      </w:r>
    </w:p>
    <w:p w:rsidR="00191DD4" w:rsidRPr="003F015F" w:rsidRDefault="00191DD4" w:rsidP="00191DD4">
      <w:pPr>
        <w:ind w:firstLine="708"/>
        <w:rPr>
          <w:rFonts w:ascii="Arial" w:hAnsi="Arial" w:cs="Arial"/>
          <w:b/>
          <w:i/>
          <w:sz w:val="28"/>
          <w:szCs w:val="28"/>
          <w:u w:val="single"/>
        </w:rPr>
      </w:pPr>
      <w:bookmarkStart w:id="228" w:name="_Toc119597412"/>
      <w:r w:rsidRPr="003F015F">
        <w:rPr>
          <w:i/>
          <w:u w:val="single"/>
        </w:rPr>
        <w:t>10.3.1 Mentions obligatoires sur les factures</w:t>
      </w:r>
      <w:bookmarkEnd w:id="228"/>
    </w:p>
    <w:p w:rsidR="00191DD4" w:rsidRPr="00CE403E" w:rsidRDefault="00191DD4" w:rsidP="00191DD4">
      <w:pPr>
        <w:autoSpaceDE w:val="0"/>
        <w:rPr>
          <w:rFonts w:eastAsia="Calibri" w:cs="Verdana"/>
          <w:color w:val="000000"/>
        </w:rPr>
      </w:pPr>
      <w:r w:rsidRPr="00CE403E">
        <w:rPr>
          <w:rFonts w:eastAsia="Calibri" w:cs="Arial"/>
          <w:color w:val="000000"/>
          <w:szCs w:val="18"/>
        </w:rPr>
        <w:t xml:space="preserve">Les paiements sont effectués selon les règles de la comptabilité publique, sur présentation de facture. </w:t>
      </w:r>
    </w:p>
    <w:p w:rsidR="00191DD4" w:rsidRPr="00191DD4" w:rsidRDefault="00191DD4" w:rsidP="00191DD4">
      <w:pPr>
        <w:autoSpaceDE w:val="0"/>
        <w:rPr>
          <w:rFonts w:eastAsia="Calibri" w:cs="Arial"/>
          <w:szCs w:val="18"/>
        </w:rPr>
      </w:pPr>
      <w:r w:rsidRPr="00FD6D75">
        <w:rPr>
          <w:rFonts w:eastAsia="Calibri" w:cs="Arial"/>
          <w:b/>
          <w:color w:val="000000"/>
          <w:szCs w:val="18"/>
        </w:rPr>
        <w:t>La facture doit obligatoirement être libellée au nom du pouvoir adjudicateur (Aix-Marseille U</w:t>
      </w:r>
      <w:r w:rsidRPr="00FD6D75">
        <w:rPr>
          <w:rFonts w:eastAsia="Calibri" w:cs="Arial"/>
          <w:b/>
          <w:szCs w:val="18"/>
        </w:rPr>
        <w:t>niversité) et</w:t>
      </w:r>
      <w:r w:rsidRPr="002C1067">
        <w:rPr>
          <w:rFonts w:eastAsia="Calibri" w:cs="Arial"/>
          <w:szCs w:val="18"/>
        </w:rPr>
        <w:t xml:space="preserve"> </w:t>
      </w:r>
      <w:r w:rsidRPr="002C1067">
        <w:rPr>
          <w:rFonts w:eastAsia="Calibri" w:cs="Arial"/>
          <w:b/>
          <w:szCs w:val="18"/>
        </w:rPr>
        <w:t>comporter les mentions obligatoires indiquées aux dispositions de l’article D2192-2 du code de la commande publique</w:t>
      </w:r>
      <w:r w:rsidRPr="002C1067">
        <w:rPr>
          <w:rFonts w:eastAsia="Calibri" w:cs="Arial"/>
          <w:szCs w:val="18"/>
        </w:rPr>
        <w:t>.</w:t>
      </w:r>
    </w:p>
    <w:p w:rsidR="00191DD4" w:rsidRPr="002C1067" w:rsidRDefault="00191DD4" w:rsidP="00191DD4">
      <w:pPr>
        <w:rPr>
          <w:rFonts w:cs="Arial"/>
          <w:szCs w:val="18"/>
        </w:rPr>
      </w:pPr>
    </w:p>
    <w:p w:rsidR="00191DD4" w:rsidRPr="00F0343E" w:rsidRDefault="00191DD4" w:rsidP="00191DD4">
      <w:pPr>
        <w:rPr>
          <w:rFonts w:cs="Arial"/>
          <w:szCs w:val="18"/>
          <w:u w:val="single"/>
        </w:rPr>
      </w:pPr>
      <w:r w:rsidRPr="00F0343E">
        <w:rPr>
          <w:rFonts w:cs="Arial"/>
          <w:szCs w:val="18"/>
          <w:u w:val="single"/>
        </w:rPr>
        <w:t xml:space="preserve">Outre les mentions légales, la facture portera </w:t>
      </w:r>
      <w:r w:rsidRPr="00F0343E">
        <w:rPr>
          <w:rFonts w:cs="Arial"/>
          <w:b/>
          <w:szCs w:val="18"/>
          <w:u w:val="single"/>
        </w:rPr>
        <w:t>IMPERATIVEMENT</w:t>
      </w:r>
      <w:r w:rsidRPr="00F0343E">
        <w:rPr>
          <w:rFonts w:cs="Arial"/>
          <w:szCs w:val="18"/>
          <w:u w:val="single"/>
        </w:rPr>
        <w:t xml:space="preserve"> les mentions suivantes : </w:t>
      </w:r>
    </w:p>
    <w:p w:rsidR="00191DD4" w:rsidRPr="00191DD4" w:rsidRDefault="00191DD4" w:rsidP="008F2B6A">
      <w:pPr>
        <w:numPr>
          <w:ilvl w:val="0"/>
          <w:numId w:val="31"/>
        </w:numPr>
        <w:suppressAutoHyphens/>
        <w:rPr>
          <w:rFonts w:cs="Arial"/>
          <w:szCs w:val="18"/>
        </w:rPr>
      </w:pPr>
      <w:r w:rsidRPr="002C1067">
        <w:rPr>
          <w:rFonts w:cs="Arial"/>
          <w:szCs w:val="18"/>
        </w:rPr>
        <w:t>La date d'émission et numéro de la facture.</w:t>
      </w:r>
    </w:p>
    <w:p w:rsidR="00191DD4" w:rsidRDefault="00191DD4" w:rsidP="008F2B6A">
      <w:pPr>
        <w:numPr>
          <w:ilvl w:val="0"/>
          <w:numId w:val="31"/>
        </w:numPr>
        <w:suppressAutoHyphens/>
        <w:rPr>
          <w:szCs w:val="18"/>
        </w:rPr>
      </w:pPr>
      <w:r w:rsidRPr="002C1067">
        <w:rPr>
          <w:szCs w:val="18"/>
        </w:rPr>
        <w:t>La désignation du destinataire de la facture :</w:t>
      </w:r>
    </w:p>
    <w:p w:rsidR="00191DD4" w:rsidRPr="001A1ADC" w:rsidRDefault="00191DD4" w:rsidP="00191DD4">
      <w:pPr>
        <w:jc w:val="center"/>
        <w:rPr>
          <w:b/>
          <w:szCs w:val="18"/>
        </w:rPr>
      </w:pPr>
      <w:r w:rsidRPr="001A1ADC">
        <w:rPr>
          <w:b/>
          <w:szCs w:val="18"/>
        </w:rPr>
        <w:t>Aix-Marseille Université</w:t>
      </w:r>
    </w:p>
    <w:p w:rsidR="00191DD4" w:rsidRPr="001A1ADC" w:rsidRDefault="00191DD4" w:rsidP="00191DD4">
      <w:pPr>
        <w:jc w:val="center"/>
        <w:rPr>
          <w:b/>
          <w:szCs w:val="18"/>
        </w:rPr>
      </w:pPr>
      <w:r w:rsidRPr="001A1ADC">
        <w:rPr>
          <w:b/>
          <w:szCs w:val="18"/>
        </w:rPr>
        <w:t>Agence Comptable</w:t>
      </w:r>
    </w:p>
    <w:p w:rsidR="00191DD4" w:rsidRPr="001A1ADC" w:rsidRDefault="00191DD4" w:rsidP="00191DD4">
      <w:pPr>
        <w:jc w:val="center"/>
        <w:rPr>
          <w:b/>
          <w:szCs w:val="18"/>
        </w:rPr>
      </w:pPr>
      <w:r w:rsidRPr="001A1ADC">
        <w:rPr>
          <w:b/>
          <w:szCs w:val="18"/>
        </w:rPr>
        <w:t>Service Facturier - 01BATIMENT</w:t>
      </w:r>
    </w:p>
    <w:p w:rsidR="00191DD4" w:rsidRPr="001A1ADC" w:rsidRDefault="00191DD4" w:rsidP="00191DD4">
      <w:pPr>
        <w:jc w:val="center"/>
        <w:rPr>
          <w:b/>
          <w:szCs w:val="18"/>
        </w:rPr>
      </w:pPr>
      <w:r w:rsidRPr="001A1ADC">
        <w:rPr>
          <w:b/>
          <w:szCs w:val="18"/>
        </w:rPr>
        <w:t>3, place Victor Hugo</w:t>
      </w:r>
    </w:p>
    <w:p w:rsidR="00191DD4" w:rsidRDefault="00191DD4" w:rsidP="00191DD4">
      <w:pPr>
        <w:jc w:val="center"/>
        <w:rPr>
          <w:b/>
          <w:szCs w:val="18"/>
        </w:rPr>
      </w:pPr>
      <w:r w:rsidRPr="001A1ADC">
        <w:rPr>
          <w:b/>
          <w:szCs w:val="18"/>
        </w:rPr>
        <w:t>13331 Marseille cedex 3</w:t>
      </w:r>
    </w:p>
    <w:p w:rsidR="00191DD4" w:rsidRPr="00963826" w:rsidRDefault="00191DD4" w:rsidP="008F2B6A">
      <w:pPr>
        <w:numPr>
          <w:ilvl w:val="0"/>
          <w:numId w:val="30"/>
        </w:numPr>
        <w:suppressAutoHyphens/>
        <w:rPr>
          <w:szCs w:val="18"/>
        </w:rPr>
      </w:pPr>
      <w:r w:rsidRPr="00963826">
        <w:rPr>
          <w:rFonts w:eastAsia="Verdana" w:cs="Arial"/>
          <w:szCs w:val="18"/>
        </w:rPr>
        <w:t>Nom complet et adresse de l’émetteur de la facture.</w:t>
      </w:r>
    </w:p>
    <w:p w:rsidR="00191DD4" w:rsidRPr="00963826" w:rsidRDefault="00191DD4" w:rsidP="008F2B6A">
      <w:pPr>
        <w:numPr>
          <w:ilvl w:val="0"/>
          <w:numId w:val="30"/>
        </w:numPr>
        <w:suppressAutoHyphens/>
        <w:rPr>
          <w:szCs w:val="18"/>
        </w:rPr>
      </w:pPr>
      <w:r w:rsidRPr="00963826">
        <w:rPr>
          <w:szCs w:val="18"/>
        </w:rPr>
        <w:t>L'identification, le cas échéant, du représentant fiscal de l'émetteur de la facture.</w:t>
      </w:r>
    </w:p>
    <w:p w:rsidR="00191DD4" w:rsidRPr="00963826" w:rsidRDefault="00191DD4" w:rsidP="008F2B6A">
      <w:pPr>
        <w:numPr>
          <w:ilvl w:val="0"/>
          <w:numId w:val="30"/>
        </w:numPr>
        <w:suppressAutoHyphens/>
        <w:rPr>
          <w:szCs w:val="18"/>
        </w:rPr>
      </w:pPr>
      <w:r w:rsidRPr="00963826">
        <w:rPr>
          <w:rFonts w:cs="Arial"/>
          <w:szCs w:val="18"/>
        </w:rPr>
        <w:t>Le numéro du compte bancaire ou postal, tel que précisé sur l’AE.</w:t>
      </w:r>
    </w:p>
    <w:p w:rsidR="00191DD4" w:rsidRPr="00963826" w:rsidRDefault="00191DD4" w:rsidP="008F2B6A">
      <w:pPr>
        <w:numPr>
          <w:ilvl w:val="0"/>
          <w:numId w:val="30"/>
        </w:numPr>
        <w:suppressAutoHyphens/>
        <w:rPr>
          <w:szCs w:val="18"/>
        </w:rPr>
      </w:pPr>
      <w:r w:rsidRPr="00963826">
        <w:rPr>
          <w:rFonts w:cs="Arial"/>
          <w:szCs w:val="18"/>
        </w:rPr>
        <w:t>Les prestations facturées (soit p</w:t>
      </w:r>
      <w:r w:rsidRPr="00963826">
        <w:rPr>
          <w:rFonts w:eastAsia="Verdana" w:cs="Arial"/>
          <w:szCs w:val="18"/>
        </w:rPr>
        <w:t>our chacune des prestations rendues, la dénomination précise, selon le cas les prix unitaires et les quantités ou bien les prix forfaitaires).</w:t>
      </w:r>
    </w:p>
    <w:p w:rsidR="00191DD4" w:rsidRPr="00963826" w:rsidRDefault="00191DD4" w:rsidP="008F2B6A">
      <w:pPr>
        <w:numPr>
          <w:ilvl w:val="0"/>
          <w:numId w:val="30"/>
        </w:numPr>
        <w:tabs>
          <w:tab w:val="left" w:pos="724"/>
        </w:tabs>
        <w:suppressAutoHyphens/>
        <w:jc w:val="left"/>
        <w:rPr>
          <w:szCs w:val="18"/>
        </w:rPr>
      </w:pPr>
      <w:r w:rsidRPr="00963826">
        <w:rPr>
          <w:rFonts w:eastAsia="Verdana" w:cs="Arial"/>
          <w:szCs w:val="18"/>
        </w:rPr>
        <w:t>Date à laquelle est effectuée la prestation de service.</w:t>
      </w:r>
    </w:p>
    <w:p w:rsidR="00191DD4" w:rsidRPr="00963826" w:rsidRDefault="00191DD4" w:rsidP="008F2B6A">
      <w:pPr>
        <w:numPr>
          <w:ilvl w:val="0"/>
          <w:numId w:val="30"/>
        </w:numPr>
        <w:suppressAutoHyphens/>
        <w:rPr>
          <w:szCs w:val="18"/>
        </w:rPr>
      </w:pPr>
      <w:r w:rsidRPr="00963826">
        <w:rPr>
          <w:rFonts w:eastAsia="Verdana" w:cs="Arial"/>
          <w:szCs w:val="18"/>
        </w:rPr>
        <w:t>Le cas échéant, référence d’inscription au répertoire du commerce ou au répertoire des métiers.</w:t>
      </w:r>
    </w:p>
    <w:p w:rsidR="00191DD4" w:rsidRPr="00963826" w:rsidRDefault="00191DD4" w:rsidP="008F2B6A">
      <w:pPr>
        <w:numPr>
          <w:ilvl w:val="0"/>
          <w:numId w:val="30"/>
        </w:numPr>
        <w:tabs>
          <w:tab w:val="left" w:pos="704"/>
        </w:tabs>
        <w:suppressAutoHyphens/>
        <w:jc w:val="left"/>
        <w:rPr>
          <w:szCs w:val="18"/>
        </w:rPr>
      </w:pPr>
      <w:r w:rsidRPr="00963826">
        <w:rPr>
          <w:rFonts w:eastAsia="Verdana" w:cs="Arial"/>
          <w:szCs w:val="18"/>
        </w:rPr>
        <w:t>Le cas échéant, numéro de SIREN ou de SIRET de l’émetteur de la facture</w:t>
      </w:r>
    </w:p>
    <w:p w:rsidR="00191DD4" w:rsidRPr="00963826" w:rsidRDefault="00191DD4" w:rsidP="008F2B6A">
      <w:pPr>
        <w:numPr>
          <w:ilvl w:val="0"/>
          <w:numId w:val="30"/>
        </w:numPr>
        <w:tabs>
          <w:tab w:val="left" w:pos="704"/>
        </w:tabs>
        <w:suppressAutoHyphens/>
        <w:jc w:val="left"/>
        <w:rPr>
          <w:szCs w:val="18"/>
        </w:rPr>
      </w:pPr>
      <w:r w:rsidRPr="00963826">
        <w:rPr>
          <w:rFonts w:eastAsia="Verdana" w:cs="Arial"/>
          <w:szCs w:val="18"/>
        </w:rPr>
        <w:t>Le numéro SIRET d’Aix-Marseille Université : 130 015 332 00013</w:t>
      </w:r>
    </w:p>
    <w:p w:rsidR="00191DD4" w:rsidRPr="00963826" w:rsidRDefault="00191DD4" w:rsidP="008F2B6A">
      <w:pPr>
        <w:numPr>
          <w:ilvl w:val="0"/>
          <w:numId w:val="30"/>
        </w:numPr>
        <w:suppressAutoHyphens/>
        <w:rPr>
          <w:szCs w:val="18"/>
        </w:rPr>
      </w:pPr>
      <w:r w:rsidRPr="00963826">
        <w:rPr>
          <w:rFonts w:cs="Arial"/>
          <w:szCs w:val="18"/>
        </w:rPr>
        <w:t>Le cas échéant, numéro d'identification TVA de l'assujetti ayant effectué la livraison du bien ou la prestation de service.</w:t>
      </w:r>
    </w:p>
    <w:p w:rsidR="00191DD4" w:rsidRPr="00963826" w:rsidRDefault="00191DD4" w:rsidP="008F2B6A">
      <w:pPr>
        <w:numPr>
          <w:ilvl w:val="0"/>
          <w:numId w:val="30"/>
        </w:numPr>
        <w:suppressAutoHyphens/>
        <w:rPr>
          <w:szCs w:val="18"/>
        </w:rPr>
      </w:pPr>
      <w:r w:rsidRPr="00963826">
        <w:rPr>
          <w:rFonts w:cs="Arial"/>
          <w:szCs w:val="18"/>
        </w:rPr>
        <w:t>T</w:t>
      </w:r>
      <w:r w:rsidRPr="00963826">
        <w:rPr>
          <w:rFonts w:eastAsia="Verdana" w:cs="Arial"/>
          <w:szCs w:val="18"/>
        </w:rPr>
        <w:t>aux de TVA appliqué, montant de la taxe à payer et par taux d’imposition, le total HT et la taxe correspondante mentionnés distinctement sauf si régime particulier ;</w:t>
      </w:r>
      <w:r w:rsidRPr="00963826">
        <w:rPr>
          <w:rFonts w:cs="Arial"/>
          <w:szCs w:val="18"/>
        </w:rPr>
        <w:t xml:space="preserve"> le total TTC (montant en €).</w:t>
      </w:r>
    </w:p>
    <w:p w:rsidR="00191DD4" w:rsidRPr="00F0343E" w:rsidRDefault="00191DD4" w:rsidP="00191DD4">
      <w:pPr>
        <w:autoSpaceDE w:val="0"/>
        <w:ind w:left="720"/>
        <w:rPr>
          <w:rFonts w:eastAsia="Calibri" w:cs="Arial"/>
          <w:color w:val="000000"/>
          <w:sz w:val="10"/>
          <w:szCs w:val="10"/>
        </w:rPr>
      </w:pPr>
    </w:p>
    <w:p w:rsidR="00191DD4" w:rsidRPr="00CE403E" w:rsidRDefault="00191DD4" w:rsidP="00191DD4">
      <w:pPr>
        <w:tabs>
          <w:tab w:val="left" w:pos="724"/>
        </w:tabs>
        <w:rPr>
          <w:sz w:val="22"/>
        </w:rPr>
      </w:pPr>
      <w:r w:rsidRPr="00CE403E">
        <w:rPr>
          <w:rFonts w:eastAsia="Verdana" w:cs="Arial"/>
          <w:i/>
          <w:sz w:val="16"/>
          <w:szCs w:val="18"/>
        </w:rPr>
        <w:t xml:space="preserve">En cas de régime particulier, (exonération, auto liquidation ou application de la marge bénéficiaire), la référence à la disposition pertinente de la réglementation EPN sur le territoire duquel est réalisée l’opération ou à la disposition correspondante de la sixième directive TVA. </w:t>
      </w:r>
      <w:r w:rsidRPr="00CE403E">
        <w:rPr>
          <w:rFonts w:eastAsia="Verdana" w:cs="Arial"/>
          <w:i/>
          <w:sz w:val="16"/>
          <w:szCs w:val="18"/>
          <w:u w:val="single"/>
        </w:rPr>
        <w:t xml:space="preserve">Dans ce cas, les factures sont établies par le prestataire en HT. </w:t>
      </w:r>
      <w:r w:rsidRPr="00CE403E">
        <w:rPr>
          <w:rFonts w:cs="Arial"/>
          <w:b/>
          <w:i/>
          <w:sz w:val="16"/>
          <w:szCs w:val="18"/>
        </w:rPr>
        <w:t>Mentions particulières selon le cas :</w:t>
      </w:r>
    </w:p>
    <w:p w:rsidR="00191DD4" w:rsidRPr="00CE403E" w:rsidRDefault="00191DD4" w:rsidP="006D4E4D">
      <w:pPr>
        <w:ind w:left="426"/>
        <w:rPr>
          <w:sz w:val="22"/>
        </w:rPr>
      </w:pPr>
      <w:r w:rsidRPr="00CE403E">
        <w:rPr>
          <w:rFonts w:cs="Arial"/>
          <w:i/>
          <w:sz w:val="16"/>
          <w:szCs w:val="18"/>
        </w:rPr>
        <w:t>-En cas de franchise de base : « TVA non applicable, article 293B du code général des impôts »</w:t>
      </w:r>
    </w:p>
    <w:p w:rsidR="00191DD4" w:rsidRPr="00CE403E" w:rsidRDefault="00191DD4" w:rsidP="006D4E4D">
      <w:pPr>
        <w:ind w:left="426"/>
        <w:rPr>
          <w:sz w:val="22"/>
        </w:rPr>
      </w:pPr>
      <w:r w:rsidRPr="00CE403E">
        <w:rPr>
          <w:rFonts w:cs="Arial"/>
          <w:i/>
          <w:sz w:val="16"/>
          <w:szCs w:val="18"/>
        </w:rPr>
        <w:t>-En cas d’autoliquidation : « TVA due par la client » + référence à l’article 283 du CGI ou à l’article 21-Ia de la 6e directive TVA</w:t>
      </w:r>
    </w:p>
    <w:p w:rsidR="00191DD4" w:rsidRPr="00F0343E" w:rsidRDefault="00191DD4" w:rsidP="00191DD4">
      <w:pPr>
        <w:rPr>
          <w:rFonts w:cs="Arial"/>
          <w:b/>
          <w:i/>
          <w:sz w:val="10"/>
          <w:szCs w:val="10"/>
          <w:u w:val="single"/>
        </w:rPr>
      </w:pPr>
    </w:p>
    <w:p w:rsidR="00191DD4" w:rsidRPr="00CE403E" w:rsidRDefault="00191DD4" w:rsidP="00DA780F">
      <w:pPr>
        <w:numPr>
          <w:ilvl w:val="0"/>
          <w:numId w:val="32"/>
        </w:numPr>
        <w:tabs>
          <w:tab w:val="left" w:pos="424"/>
        </w:tabs>
        <w:suppressAutoHyphens/>
      </w:pPr>
      <w:r w:rsidRPr="00963826">
        <w:rPr>
          <w:rFonts w:eastAsia="Verdana" w:cs="Arial"/>
          <w:szCs w:val="18"/>
        </w:rPr>
        <w:t xml:space="preserve">La facture doit également mentionner obligatoirement un </w:t>
      </w:r>
      <w:r w:rsidRPr="00963826">
        <w:rPr>
          <w:rFonts w:eastAsia="Verdana" w:cs="Arial"/>
          <w:b/>
          <w:szCs w:val="18"/>
          <w:u w:val="single"/>
        </w:rPr>
        <w:t>numéro d’engagement juridique</w:t>
      </w:r>
      <w:r w:rsidRPr="00963826">
        <w:rPr>
          <w:rFonts w:eastAsia="Verdana" w:cs="Arial"/>
          <w:szCs w:val="18"/>
        </w:rPr>
        <w:t xml:space="preserve"> </w:t>
      </w:r>
      <w:r w:rsidRPr="00963826">
        <w:rPr>
          <w:rFonts w:eastAsia="Verdana" w:cs="Arial"/>
          <w:b/>
          <w:szCs w:val="18"/>
        </w:rPr>
        <w:t>(</w:t>
      </w:r>
      <w:r w:rsidRPr="00963826">
        <w:rPr>
          <w:rFonts w:eastAsia="Verdana" w:cs="Arial"/>
          <w:szCs w:val="18"/>
          <w:u w:val="single"/>
        </w:rPr>
        <w:t>ou « </w:t>
      </w:r>
      <w:r w:rsidRPr="00963826">
        <w:rPr>
          <w:rFonts w:eastAsia="Verdana" w:cs="Arial"/>
          <w:b/>
          <w:szCs w:val="18"/>
          <w:u w:val="single"/>
        </w:rPr>
        <w:t>numéro de marché</w:t>
      </w:r>
      <w:r w:rsidRPr="00963826">
        <w:rPr>
          <w:rFonts w:cs="Verdana"/>
          <w:szCs w:val="18"/>
          <w:u w:val="single"/>
        </w:rPr>
        <w:t xml:space="preserve"> </w:t>
      </w:r>
      <w:r w:rsidRPr="00963826">
        <w:rPr>
          <w:rFonts w:eastAsia="Verdana" w:cs="Arial"/>
          <w:b/>
          <w:szCs w:val="18"/>
          <w:u w:val="single"/>
        </w:rPr>
        <w:t>SIFAC »</w:t>
      </w:r>
      <w:r w:rsidRPr="00963826">
        <w:rPr>
          <w:rFonts w:eastAsia="Verdana" w:cs="Arial"/>
          <w:b/>
          <w:szCs w:val="18"/>
        </w:rPr>
        <w:t> commençant par 45xxxxxx)</w:t>
      </w:r>
      <w:r w:rsidRPr="00963826">
        <w:rPr>
          <w:rFonts w:eastAsia="Verdana" w:cs="Arial"/>
          <w:szCs w:val="18"/>
        </w:rPr>
        <w:t>, point d'entrée indispensable de notre système d'information</w:t>
      </w:r>
      <w:r w:rsidRPr="00963826">
        <w:rPr>
          <w:rFonts w:eastAsia="Verdana" w:cs="Arial"/>
          <w:b/>
          <w:szCs w:val="18"/>
        </w:rPr>
        <w:t xml:space="preserve"> </w:t>
      </w:r>
      <w:r w:rsidRPr="00963826">
        <w:rPr>
          <w:rFonts w:eastAsia="Verdana" w:cs="Arial"/>
          <w:szCs w:val="18"/>
        </w:rPr>
        <w:t xml:space="preserve">financier et comptable. La référence de commande est une information essentielle, en l'absence de laquelle, le service facturier qui </w:t>
      </w:r>
      <w:r w:rsidRPr="00CE403E">
        <w:rPr>
          <w:rFonts w:eastAsia="Verdana" w:cs="Arial"/>
          <w:szCs w:val="18"/>
        </w:rPr>
        <w:t xml:space="preserve">doit traiter </w:t>
      </w:r>
      <w:r>
        <w:rPr>
          <w:rFonts w:eastAsia="Verdana" w:cs="Arial"/>
          <w:szCs w:val="18"/>
        </w:rPr>
        <w:t>la</w:t>
      </w:r>
      <w:r w:rsidRPr="00CE403E">
        <w:rPr>
          <w:rFonts w:eastAsia="Verdana" w:cs="Arial"/>
          <w:szCs w:val="18"/>
        </w:rPr>
        <w:t xml:space="preserve"> facture, se trouve dans l'impossibilité d'identifier le responsable de la commande et la ligne budgétaire qui supportera la dépense.</w:t>
      </w:r>
    </w:p>
    <w:p w:rsidR="00191DD4" w:rsidRPr="00F0343E" w:rsidRDefault="00191DD4" w:rsidP="00DA780F">
      <w:pPr>
        <w:rPr>
          <w:rFonts w:eastAsia="Verdana" w:cs="Arial"/>
          <w:sz w:val="10"/>
          <w:szCs w:val="10"/>
        </w:rPr>
      </w:pPr>
    </w:p>
    <w:p w:rsidR="00191DD4" w:rsidRPr="00CE403E" w:rsidRDefault="00191DD4" w:rsidP="00DA780F">
      <w:pPr>
        <w:numPr>
          <w:ilvl w:val="0"/>
          <w:numId w:val="32"/>
        </w:numPr>
        <w:tabs>
          <w:tab w:val="left" w:pos="424"/>
        </w:tabs>
        <w:suppressAutoHyphens/>
        <w:ind w:right="20"/>
      </w:pPr>
      <w:r w:rsidRPr="00CE403E">
        <w:rPr>
          <w:rFonts w:eastAsia="Verdana" w:cs="Arial"/>
          <w:szCs w:val="18"/>
        </w:rPr>
        <w:t xml:space="preserve">La référence </w:t>
      </w:r>
      <w:r>
        <w:rPr>
          <w:rFonts w:eastAsia="Verdana" w:cs="Arial"/>
          <w:szCs w:val="18"/>
        </w:rPr>
        <w:t>marché subséquent</w:t>
      </w:r>
      <w:r w:rsidRPr="00CE403E">
        <w:rPr>
          <w:rFonts w:eastAsia="Verdana" w:cs="Arial"/>
          <w:szCs w:val="18"/>
        </w:rPr>
        <w:t xml:space="preserve"> doit </w:t>
      </w:r>
      <w:r w:rsidRPr="00CE403E">
        <w:rPr>
          <w:rFonts w:eastAsia="Verdana" w:cs="Arial"/>
          <w:b/>
          <w:szCs w:val="18"/>
        </w:rPr>
        <w:t>figurer sur la facture</w:t>
      </w:r>
      <w:r w:rsidRPr="00CE403E">
        <w:rPr>
          <w:rFonts w:eastAsia="Verdana" w:cs="Arial"/>
          <w:szCs w:val="18"/>
        </w:rPr>
        <w:t xml:space="preserve"> </w:t>
      </w:r>
      <w:r w:rsidRPr="00CE403E">
        <w:rPr>
          <w:rFonts w:eastAsia="Verdana" w:cs="Arial"/>
          <w:b/>
          <w:szCs w:val="18"/>
          <w:u w:val="single"/>
        </w:rPr>
        <w:t>ET</w:t>
      </w:r>
      <w:r w:rsidRPr="00CE403E">
        <w:rPr>
          <w:rFonts w:eastAsia="Verdana" w:cs="Arial"/>
          <w:szCs w:val="18"/>
        </w:rPr>
        <w:t xml:space="preserve"> </w:t>
      </w:r>
      <w:r w:rsidRPr="00CE403E">
        <w:rPr>
          <w:rFonts w:eastAsia="Verdana" w:cs="Arial"/>
          <w:b/>
          <w:szCs w:val="18"/>
        </w:rPr>
        <w:t>être saisie dans le champ</w:t>
      </w:r>
      <w:r w:rsidRPr="00CE403E">
        <w:rPr>
          <w:rFonts w:eastAsia="Verdana" w:cs="Arial"/>
          <w:szCs w:val="18"/>
        </w:rPr>
        <w:t xml:space="preserve"> </w:t>
      </w:r>
      <w:r w:rsidRPr="00CE403E">
        <w:rPr>
          <w:rFonts w:eastAsia="Verdana" w:cs="Arial"/>
          <w:b/>
          <w:szCs w:val="18"/>
        </w:rPr>
        <w:t xml:space="preserve">« Références / n° d’engagement » </w:t>
      </w:r>
      <w:r w:rsidRPr="00CE403E">
        <w:rPr>
          <w:rFonts w:eastAsia="Verdana" w:cs="Arial"/>
          <w:szCs w:val="18"/>
        </w:rPr>
        <w:t>sur le portail</w:t>
      </w:r>
      <w:r w:rsidRPr="00CE403E">
        <w:rPr>
          <w:rFonts w:eastAsia="Verdana" w:cs="Arial"/>
          <w:color w:val="000000"/>
          <w:szCs w:val="18"/>
        </w:rPr>
        <w:t xml:space="preserve"> CHORUS PRO.</w:t>
      </w:r>
    </w:p>
    <w:p w:rsidR="00191DD4" w:rsidRPr="00CE403E" w:rsidRDefault="00191DD4" w:rsidP="00191DD4">
      <w:r w:rsidRPr="00CE403E">
        <w:rPr>
          <w:rFonts w:cs="Arial"/>
          <w:b/>
          <w:szCs w:val="18"/>
        </w:rPr>
        <w:lastRenderedPageBreak/>
        <w:t>Si une facture ne contient pas ces mentions et indications, elle pourra faire l’objet d’un rejet.</w:t>
      </w:r>
    </w:p>
    <w:p w:rsidR="00191DD4" w:rsidRPr="00CE403E" w:rsidRDefault="00191DD4" w:rsidP="00191DD4">
      <w:pPr>
        <w:rPr>
          <w:rFonts w:cs="Arial"/>
          <w:b/>
          <w:szCs w:val="18"/>
        </w:rPr>
      </w:pPr>
    </w:p>
    <w:p w:rsidR="00191DD4" w:rsidRPr="003F015F" w:rsidRDefault="00191DD4" w:rsidP="00191DD4">
      <w:pPr>
        <w:ind w:firstLine="708"/>
        <w:rPr>
          <w:rFonts w:ascii="Arial" w:hAnsi="Arial" w:cs="Arial"/>
          <w:b/>
          <w:i/>
          <w:sz w:val="28"/>
          <w:szCs w:val="28"/>
          <w:u w:val="single"/>
        </w:rPr>
      </w:pPr>
      <w:bookmarkStart w:id="229" w:name="_Toc119597413"/>
      <w:r w:rsidRPr="003F015F">
        <w:rPr>
          <w:i/>
          <w:u w:val="single"/>
        </w:rPr>
        <w:t>10.3.2 Modalités de dépôt des factures</w:t>
      </w:r>
      <w:bookmarkEnd w:id="229"/>
      <w:r w:rsidRPr="003F015F">
        <w:rPr>
          <w:i/>
          <w:u w:val="single"/>
        </w:rPr>
        <w:t xml:space="preserve"> </w:t>
      </w:r>
    </w:p>
    <w:p w:rsidR="00191DD4" w:rsidRPr="00CE403E" w:rsidRDefault="00191DD4" w:rsidP="00191DD4">
      <w:r w:rsidRPr="002C1067">
        <w:rPr>
          <w:rFonts w:cs="Verdana"/>
          <w:szCs w:val="18"/>
        </w:rPr>
        <w:t xml:space="preserve">Conformément aux dispositions du code de la commande publique (articles L2192-1 à L2192-4 et R2192-3), </w:t>
      </w:r>
      <w:r w:rsidRPr="002C1067">
        <w:rPr>
          <w:rFonts w:cs="Verdana"/>
          <w:szCs w:val="18"/>
          <w:u w:val="single"/>
        </w:rPr>
        <w:t>le titulaire</w:t>
      </w:r>
      <w:r w:rsidRPr="002C1067">
        <w:rPr>
          <w:rFonts w:cs="Verdana"/>
          <w:szCs w:val="18"/>
        </w:rPr>
        <w:t xml:space="preserve"> ainsi que, </w:t>
      </w:r>
      <w:r w:rsidRPr="002C1067">
        <w:rPr>
          <w:rFonts w:cs="Verdana"/>
          <w:szCs w:val="18"/>
          <w:u w:val="single"/>
        </w:rPr>
        <w:t>le cas échéant, ses cotraitants et ses sous-traitants concernés</w:t>
      </w:r>
      <w:r w:rsidRPr="002C1067">
        <w:rPr>
          <w:rFonts w:cs="Verdana"/>
          <w:b/>
          <w:szCs w:val="18"/>
        </w:rPr>
        <w:t>, doivent transmettre</w:t>
      </w:r>
      <w:r w:rsidRPr="00CE403E">
        <w:rPr>
          <w:rFonts w:cs="Verdana"/>
          <w:b/>
          <w:szCs w:val="18"/>
        </w:rPr>
        <w:t xml:space="preserve"> leurs demandes de paiement sur le portail mutualisé de l’Etat CHORUS PRO</w:t>
      </w:r>
      <w:r w:rsidRPr="00CE403E">
        <w:rPr>
          <w:rFonts w:cs="Verdana"/>
          <w:szCs w:val="18"/>
        </w:rPr>
        <w:t>.</w:t>
      </w:r>
    </w:p>
    <w:p w:rsidR="00191DD4" w:rsidRPr="00CE403E" w:rsidRDefault="00191DD4" w:rsidP="00F0343E">
      <w:pPr>
        <w:tabs>
          <w:tab w:val="left" w:pos="501"/>
        </w:tabs>
        <w:rPr>
          <w:rFonts w:eastAsia="Verdana" w:cs="Verdana"/>
          <w:b/>
          <w:color w:val="0070C0"/>
          <w:szCs w:val="18"/>
          <w:u w:val="single"/>
        </w:rPr>
      </w:pPr>
      <w:r w:rsidRPr="00CE403E">
        <w:rPr>
          <w:rFonts w:eastAsia="Verdana" w:cs="Arial"/>
          <w:szCs w:val="18"/>
        </w:rPr>
        <w:t xml:space="preserve">Les factures sont déposées </w:t>
      </w:r>
      <w:r w:rsidRPr="00CE403E">
        <w:rPr>
          <w:rFonts w:eastAsia="Verdana" w:cs="Arial"/>
          <w:szCs w:val="18"/>
          <w:u w:val="single"/>
        </w:rPr>
        <w:t>directement</w:t>
      </w:r>
      <w:r w:rsidRPr="00CE403E">
        <w:rPr>
          <w:rFonts w:eastAsia="Verdana" w:cs="Arial"/>
          <w:szCs w:val="18"/>
        </w:rPr>
        <w:t xml:space="preserve"> à destination du pôle facturier de l’agence comptable de l’université sur le portail de dématérialisation des factures </w:t>
      </w:r>
      <w:r w:rsidRPr="00CE403E">
        <w:rPr>
          <w:rFonts w:eastAsia="Verdana" w:cs="Arial"/>
          <w:b/>
          <w:szCs w:val="18"/>
        </w:rPr>
        <w:t xml:space="preserve">CHORUS PRO </w:t>
      </w:r>
      <w:r w:rsidRPr="00CE403E">
        <w:rPr>
          <w:rFonts w:eastAsia="Verdana" w:cs="Arial"/>
          <w:szCs w:val="18"/>
        </w:rPr>
        <w:t xml:space="preserve">: </w:t>
      </w:r>
      <w:hyperlink r:id="rId14" w:history="1">
        <w:r w:rsidRPr="00CE403E">
          <w:rPr>
            <w:rFonts w:eastAsia="Verdana" w:cs="Arial"/>
            <w:color w:val="0000FF"/>
            <w:szCs w:val="18"/>
            <w:u w:val="single"/>
          </w:rPr>
          <w:t>https://chorus-pro.gouv.fr</w:t>
        </w:r>
      </w:hyperlink>
    </w:p>
    <w:p w:rsidR="00191DD4" w:rsidRPr="00F0343E" w:rsidRDefault="00191DD4" w:rsidP="00F0343E">
      <w:pPr>
        <w:rPr>
          <w:rFonts w:eastAsia="Verdana" w:cs="Verdana"/>
          <w:b/>
          <w:color w:val="0070C0"/>
          <w:sz w:val="10"/>
          <w:szCs w:val="10"/>
          <w:u w:val="single"/>
        </w:rPr>
      </w:pPr>
    </w:p>
    <w:p w:rsidR="00191DD4" w:rsidRPr="00CE403E" w:rsidRDefault="00191DD4" w:rsidP="00F0343E">
      <w:pPr>
        <w:numPr>
          <w:ilvl w:val="0"/>
          <w:numId w:val="29"/>
        </w:numPr>
        <w:tabs>
          <w:tab w:val="left" w:pos="321"/>
        </w:tabs>
        <w:suppressAutoHyphens/>
        <w:ind w:left="321" w:right="100" w:hanging="292"/>
      </w:pPr>
      <w:r w:rsidRPr="00CE403E">
        <w:rPr>
          <w:rFonts w:eastAsia="Verdana" w:cs="Arial"/>
          <w:b/>
          <w:color w:val="1F3864"/>
          <w:szCs w:val="20"/>
        </w:rPr>
        <w:t>Les factures envoyées par mail ou par ticket, ou transitant via d’autres services que le pôle facturier seront systématiquement rejetées avec pour motif le dépôt obligatoire sur le portail</w:t>
      </w:r>
      <w:r w:rsidRPr="00CE403E">
        <w:rPr>
          <w:rFonts w:ascii="Arial" w:eastAsia="Arial" w:hAnsi="Arial" w:cs="Arial"/>
          <w:b/>
          <w:color w:val="1F3864"/>
          <w:szCs w:val="20"/>
        </w:rPr>
        <w:t xml:space="preserve"> </w:t>
      </w:r>
      <w:r w:rsidRPr="00CE403E">
        <w:rPr>
          <w:rFonts w:eastAsia="Verdana" w:cs="Arial"/>
          <w:b/>
          <w:color w:val="1F3864"/>
          <w:szCs w:val="20"/>
        </w:rPr>
        <w:t>CHORUS PRO.</w:t>
      </w:r>
    </w:p>
    <w:p w:rsidR="00191DD4" w:rsidRPr="00CE403E" w:rsidRDefault="00191DD4" w:rsidP="00191DD4">
      <w:pPr>
        <w:rPr>
          <w:rFonts w:cs="Verdana"/>
          <w:i/>
          <w:iCs/>
          <w:szCs w:val="18"/>
        </w:rPr>
      </w:pPr>
    </w:p>
    <w:p w:rsidR="00191DD4" w:rsidRPr="003F015F" w:rsidRDefault="00191DD4" w:rsidP="00191DD4">
      <w:pPr>
        <w:ind w:firstLine="708"/>
        <w:rPr>
          <w:rFonts w:ascii="Arial" w:hAnsi="Arial" w:cs="Arial"/>
          <w:b/>
          <w:i/>
          <w:sz w:val="28"/>
          <w:szCs w:val="28"/>
          <w:u w:val="single"/>
        </w:rPr>
      </w:pPr>
      <w:bookmarkStart w:id="230" w:name="_Toc119597414"/>
      <w:r w:rsidRPr="003F015F">
        <w:rPr>
          <w:i/>
          <w:u w:val="single"/>
        </w:rPr>
        <w:t>10.3.3 Le suivi des factures</w:t>
      </w:r>
      <w:bookmarkEnd w:id="230"/>
    </w:p>
    <w:p w:rsidR="00191DD4" w:rsidRPr="00CE403E" w:rsidRDefault="00191DD4" w:rsidP="00191DD4">
      <w:r w:rsidRPr="00CE403E">
        <w:rPr>
          <w:rFonts w:cs="Verdana"/>
          <w:iCs/>
          <w:szCs w:val="18"/>
        </w:rPr>
        <w:t>Le suivi de l’évolution du statut de votre facture depuis la plateforme CHORUS PRO s’effectue en cliquant sur l’icône « Suivi de traitement » dans l’onglet « Consultation de facture ».</w:t>
      </w:r>
    </w:p>
    <w:p w:rsidR="00191DD4" w:rsidRPr="00F0343E" w:rsidRDefault="00191DD4" w:rsidP="00191DD4">
      <w:pPr>
        <w:rPr>
          <w:rFonts w:cs="Verdana"/>
          <w:i/>
          <w:iCs/>
          <w:sz w:val="10"/>
          <w:szCs w:val="10"/>
        </w:rPr>
      </w:pPr>
    </w:p>
    <w:p w:rsidR="00191DD4" w:rsidRPr="00CE403E" w:rsidRDefault="00191DD4" w:rsidP="00F0343E">
      <w:pPr>
        <w:tabs>
          <w:tab w:val="left" w:pos="420"/>
        </w:tabs>
      </w:pPr>
      <w:r w:rsidRPr="00CE403E">
        <w:rPr>
          <w:rFonts w:eastAsia="Verdana" w:cs="Arial"/>
          <w:b/>
          <w:szCs w:val="20"/>
        </w:rPr>
        <w:t>Pour toute requête</w:t>
      </w:r>
      <w:r w:rsidRPr="00CE403E">
        <w:rPr>
          <w:rFonts w:eastAsia="Verdana" w:cs="Arial"/>
          <w:szCs w:val="20"/>
        </w:rPr>
        <w:t xml:space="preserve">, le titulaire formulera sa demande en créant </w:t>
      </w:r>
      <w:r w:rsidRPr="00CE403E">
        <w:rPr>
          <w:rFonts w:eastAsia="Verdana" w:cs="Arial"/>
          <w:b/>
          <w:szCs w:val="20"/>
        </w:rPr>
        <w:t>un ticket sur le site de l’université</w:t>
      </w:r>
      <w:r w:rsidRPr="00CE403E">
        <w:rPr>
          <w:rFonts w:eastAsia="Verdana" w:cs="Arial"/>
          <w:szCs w:val="20"/>
        </w:rPr>
        <w:t xml:space="preserve">, en précisant le numéro de </w:t>
      </w:r>
      <w:r>
        <w:rPr>
          <w:rFonts w:cs="Verdana"/>
          <w:szCs w:val="18"/>
        </w:rPr>
        <w:t>marché subséquent</w:t>
      </w:r>
      <w:r w:rsidRPr="00CE403E">
        <w:rPr>
          <w:rFonts w:eastAsia="Verdana" w:cs="Arial"/>
          <w:szCs w:val="20"/>
        </w:rPr>
        <w:t>, la date et le numéro de votre ou de vos facture(s), le ou les montant(s) (vous devrez créer un compte avec une adresse électronique) </w:t>
      </w:r>
      <w:r w:rsidRPr="00CE403E">
        <w:rPr>
          <w:rFonts w:ascii="Arial" w:eastAsia="Arial" w:hAnsi="Arial" w:cs="Arial"/>
          <w:color w:val="2F5496"/>
          <w:szCs w:val="20"/>
        </w:rPr>
        <w:t>:</w:t>
      </w:r>
    </w:p>
    <w:p w:rsidR="00191DD4" w:rsidRPr="00CE403E" w:rsidRDefault="00DD1C9C" w:rsidP="008F2B6A">
      <w:pPr>
        <w:numPr>
          <w:ilvl w:val="0"/>
          <w:numId w:val="33"/>
        </w:numPr>
      </w:pPr>
      <w:hyperlink r:id="rId15" w:history="1">
        <w:r w:rsidR="00191DD4" w:rsidRPr="00CE403E">
          <w:rPr>
            <w:rFonts w:ascii="Calibri" w:eastAsia="Calibri" w:hAnsi="Calibri" w:cs="Calibri"/>
            <w:color w:val="0563C1"/>
            <w:sz w:val="22"/>
            <w:szCs w:val="22"/>
            <w:u w:val="single"/>
            <w:lang w:eastAsia="en-US"/>
          </w:rPr>
          <w:t>https://ent.univ-amu.fr/esup-helpdesk/stylesheets/welcome.faces</w:t>
        </w:r>
      </w:hyperlink>
      <w:r w:rsidR="00191DD4" w:rsidRPr="00CE403E">
        <w:rPr>
          <w:rFonts w:ascii="Calibri" w:eastAsia="Calibri" w:hAnsi="Calibri" w:cs="Calibri"/>
          <w:sz w:val="22"/>
          <w:szCs w:val="22"/>
          <w:lang w:eastAsia="en-US"/>
        </w:rPr>
        <w:t xml:space="preserve">  </w:t>
      </w:r>
    </w:p>
    <w:p w:rsidR="00191DD4" w:rsidRPr="00F0343E" w:rsidRDefault="00191DD4" w:rsidP="00191DD4">
      <w:pPr>
        <w:rPr>
          <w:rFonts w:eastAsia="Calibri" w:cs="Verdana"/>
          <w:b/>
          <w:color w:val="FF0000"/>
          <w:sz w:val="10"/>
          <w:szCs w:val="10"/>
          <w:lang w:eastAsia="en-US"/>
        </w:rPr>
      </w:pPr>
    </w:p>
    <w:p w:rsidR="00191DD4" w:rsidRDefault="00191DD4" w:rsidP="00191DD4">
      <w:pPr>
        <w:rPr>
          <w:rFonts w:cs="Verdana"/>
          <w:b/>
          <w:szCs w:val="18"/>
        </w:rPr>
      </w:pPr>
      <w:r w:rsidRPr="00CE403E">
        <w:rPr>
          <w:rFonts w:cs="Verdana"/>
          <w:b/>
          <w:szCs w:val="18"/>
        </w:rPr>
        <w:t>Les requêtes formulées par courriel, courriers ou appels téléphoniques ne pourront pas être traitées.</w:t>
      </w:r>
    </w:p>
    <w:p w:rsidR="00191DD4" w:rsidRPr="001A1ADC" w:rsidRDefault="00191DD4" w:rsidP="00191DD4"/>
    <w:p w:rsidR="00191DD4" w:rsidRPr="003F015F" w:rsidRDefault="00191DD4" w:rsidP="00191DD4">
      <w:pPr>
        <w:ind w:firstLine="708"/>
        <w:rPr>
          <w:i/>
          <w:u w:val="single"/>
        </w:rPr>
      </w:pPr>
      <w:bookmarkStart w:id="231" w:name="_Toc119597415"/>
      <w:r w:rsidRPr="003F015F">
        <w:rPr>
          <w:i/>
          <w:u w:val="single"/>
        </w:rPr>
        <w:t>10.3.4 Documentation sur le processus facturation d’AMU</w:t>
      </w:r>
      <w:bookmarkEnd w:id="231"/>
    </w:p>
    <w:p w:rsidR="00191DD4" w:rsidRDefault="00191DD4" w:rsidP="00191DD4">
      <w:pPr>
        <w:rPr>
          <w:rFonts w:cs="Verdana"/>
          <w:szCs w:val="18"/>
        </w:rPr>
      </w:pPr>
      <w:r w:rsidRPr="00CE403E">
        <w:rPr>
          <w:rFonts w:cs="Verdana"/>
          <w:szCs w:val="18"/>
        </w:rPr>
        <w:t xml:space="preserve">Des documents d'information sont disponibles sur le site de l’agence comptable d’AMU : </w:t>
      </w:r>
    </w:p>
    <w:p w:rsidR="00191DD4" w:rsidRPr="00CE403E" w:rsidRDefault="00DD1C9C" w:rsidP="008F2B6A">
      <w:pPr>
        <w:numPr>
          <w:ilvl w:val="0"/>
          <w:numId w:val="33"/>
        </w:numPr>
        <w:rPr>
          <w:szCs w:val="18"/>
        </w:rPr>
      </w:pPr>
      <w:hyperlink r:id="rId16" w:history="1">
        <w:r w:rsidR="00191DD4" w:rsidRPr="00A718C1">
          <w:rPr>
            <w:rStyle w:val="Lienhypertexte"/>
            <w:szCs w:val="18"/>
          </w:rPr>
          <w:t>https://www.univ-amu.fr/fr/public/espace-fournisseurs</w:t>
        </w:r>
      </w:hyperlink>
      <w:r w:rsidR="00191DD4">
        <w:rPr>
          <w:szCs w:val="18"/>
        </w:rPr>
        <w:t xml:space="preserve"> </w:t>
      </w:r>
    </w:p>
    <w:p w:rsidR="00191DD4" w:rsidRPr="002C7FB2" w:rsidRDefault="00191DD4" w:rsidP="008F2B6A">
      <w:pPr>
        <w:numPr>
          <w:ilvl w:val="0"/>
          <w:numId w:val="33"/>
        </w:numPr>
        <w:rPr>
          <w:rFonts w:cs="Verdana"/>
          <w:color w:val="0000FF"/>
          <w:szCs w:val="18"/>
          <w:u w:val="single"/>
        </w:rPr>
      </w:pPr>
      <w:r w:rsidRPr="002C7FB2">
        <w:rPr>
          <w:rFonts w:cs="Verdana"/>
          <w:color w:val="0000FF"/>
          <w:szCs w:val="18"/>
          <w:u w:val="single"/>
        </w:rPr>
        <w:t>https://www.univ-amu.fr/fr/public/tuile-assistance</w:t>
      </w:r>
    </w:p>
    <w:p w:rsidR="00191DD4" w:rsidRPr="00F0343E" w:rsidRDefault="00191DD4" w:rsidP="00191DD4">
      <w:pPr>
        <w:rPr>
          <w:rFonts w:cs="Verdana"/>
          <w:sz w:val="10"/>
          <w:szCs w:val="10"/>
        </w:rPr>
      </w:pPr>
    </w:p>
    <w:p w:rsidR="00191DD4" w:rsidRPr="00CE403E" w:rsidRDefault="00191DD4" w:rsidP="00191DD4">
      <w:pPr>
        <w:rPr>
          <w:szCs w:val="18"/>
        </w:rPr>
      </w:pPr>
      <w:r w:rsidRPr="00CE403E">
        <w:rPr>
          <w:rFonts w:cs="Verdana"/>
          <w:szCs w:val="18"/>
        </w:rPr>
        <w:t>et notamment le mode opératoire pour créer une requête auprès du service facturier :</w:t>
      </w:r>
    </w:p>
    <w:p w:rsidR="00191DD4" w:rsidRPr="007B1074" w:rsidRDefault="00DD1C9C" w:rsidP="00191DD4">
      <w:pPr>
        <w:numPr>
          <w:ilvl w:val="0"/>
          <w:numId w:val="34"/>
        </w:numPr>
        <w:rPr>
          <w:szCs w:val="18"/>
        </w:rPr>
      </w:pPr>
      <w:hyperlink r:id="rId17" w:history="1">
        <w:r w:rsidR="00191DD4" w:rsidRPr="00CE403E">
          <w:rPr>
            <w:rFonts w:cs="Verdana"/>
            <w:color w:val="0000FF"/>
            <w:szCs w:val="18"/>
            <w:u w:val="single"/>
          </w:rPr>
          <w:t>https://www.univ-amu.fr/fr/public/creer-une-requete-aupres-du-service-facturier</w:t>
        </w:r>
      </w:hyperlink>
      <w:r w:rsidR="00191DD4" w:rsidRPr="00CE403E">
        <w:rPr>
          <w:rFonts w:cs="Verdana"/>
          <w:color w:val="1F497D"/>
          <w:szCs w:val="18"/>
        </w:rPr>
        <w:t xml:space="preserve"> </w:t>
      </w:r>
    </w:p>
    <w:p w:rsidR="00191DD4" w:rsidRDefault="00191DD4" w:rsidP="00191DD4">
      <w:pPr>
        <w:pStyle w:val="Titre2"/>
      </w:pPr>
      <w:bookmarkStart w:id="232" w:name="_Toc119597416"/>
      <w:bookmarkStart w:id="233" w:name="_Toc148692622"/>
      <w:r>
        <w:t>10.4 Délai global de paiement</w:t>
      </w:r>
      <w:bookmarkEnd w:id="232"/>
      <w:bookmarkEnd w:id="233"/>
    </w:p>
    <w:p w:rsidR="00191DD4" w:rsidRDefault="00191DD4" w:rsidP="00191DD4">
      <w:pPr>
        <w:pStyle w:val="Corpsdetexte"/>
      </w:pPr>
      <w:r>
        <w:rPr>
          <w:rFonts w:cs="Arial"/>
          <w:szCs w:val="18"/>
        </w:rPr>
        <w:t>Le mode de règlement est le virement administratif.</w:t>
      </w:r>
    </w:p>
    <w:p w:rsidR="00191DD4" w:rsidRPr="007B1074" w:rsidRDefault="00191DD4" w:rsidP="00191DD4">
      <w:pPr>
        <w:rPr>
          <w:rFonts w:cs="Arial"/>
          <w:sz w:val="10"/>
          <w:szCs w:val="10"/>
          <w:highlight w:val="yellow"/>
        </w:rPr>
      </w:pPr>
    </w:p>
    <w:p w:rsidR="00191DD4" w:rsidRDefault="00191DD4" w:rsidP="00191DD4">
      <w:r>
        <w:rPr>
          <w:rFonts w:cs="Arial"/>
          <w:szCs w:val="18"/>
        </w:rPr>
        <w:t xml:space="preserve">Les sommes dues en exécution du présent marché sont payées (après « service fait »), conformément aux </w:t>
      </w:r>
      <w:r w:rsidRPr="0095006A">
        <w:rPr>
          <w:rFonts w:cs="Arial"/>
          <w:szCs w:val="18"/>
        </w:rPr>
        <w:t>dispositions des articles R2192-10 à R2192-11.</w:t>
      </w:r>
    </w:p>
    <w:p w:rsidR="00191DD4" w:rsidRPr="007B1074" w:rsidRDefault="00191DD4" w:rsidP="00191DD4">
      <w:pPr>
        <w:rPr>
          <w:rFonts w:cs="Arial"/>
          <w:sz w:val="10"/>
          <w:szCs w:val="10"/>
          <w:highlight w:val="yellow"/>
        </w:rPr>
      </w:pPr>
    </w:p>
    <w:p w:rsidR="00191DD4" w:rsidRDefault="00191DD4" w:rsidP="00191DD4">
      <w:r>
        <w:rPr>
          <w:rFonts w:cs="Verdana"/>
          <w:szCs w:val="18"/>
        </w:rPr>
        <w:t>Le délai global de paiement sur lequel s’engage le pouvoir adjudicateur est de trente (30) j</w:t>
      </w:r>
      <w:r w:rsidRPr="0095006A">
        <w:rPr>
          <w:rFonts w:cs="Verdana"/>
          <w:szCs w:val="18"/>
        </w:rPr>
        <w:t>ours francs.</w:t>
      </w:r>
      <w:r>
        <w:rPr>
          <w:rFonts w:cs="Arial"/>
          <w:szCs w:val="18"/>
        </w:rPr>
        <w:t xml:space="preserve"> </w:t>
      </w:r>
    </w:p>
    <w:p w:rsidR="00191DD4" w:rsidRPr="00F0343E" w:rsidRDefault="00191DD4" w:rsidP="00191DD4">
      <w:pPr>
        <w:rPr>
          <w:rFonts w:cs="Verdana"/>
          <w:sz w:val="10"/>
          <w:szCs w:val="10"/>
        </w:rPr>
      </w:pPr>
    </w:p>
    <w:p w:rsidR="00191DD4" w:rsidRDefault="00191DD4" w:rsidP="00191DD4">
      <w:r>
        <w:rPr>
          <w:rFonts w:cs="Verdana"/>
          <w:szCs w:val="18"/>
        </w:rPr>
        <w:t>Le délai court à compter de la réception de la facture, si la prestation a été effectuée et acceptée avant cette date. Si la prestation intervient après réception de la facture, le délai de paiement court à compter de la date de constatation de l’exécution des prestations.</w:t>
      </w:r>
    </w:p>
    <w:p w:rsidR="00191DD4" w:rsidRPr="00F0343E" w:rsidRDefault="00191DD4" w:rsidP="00191DD4">
      <w:pPr>
        <w:rPr>
          <w:rFonts w:cs="Arial"/>
          <w:sz w:val="10"/>
          <w:szCs w:val="10"/>
        </w:rPr>
      </w:pPr>
    </w:p>
    <w:p w:rsidR="00191DD4" w:rsidRDefault="00191DD4" w:rsidP="00191DD4">
      <w:r>
        <w:rPr>
          <w:rFonts w:cs="Arial"/>
          <w:szCs w:val="18"/>
        </w:rPr>
        <w:t>Le défaut de paiement dans ce délai fait courir de plein droit et sans autre formalité :</w:t>
      </w:r>
    </w:p>
    <w:p w:rsidR="00191DD4" w:rsidRDefault="00191DD4" w:rsidP="00F0343E">
      <w:pPr>
        <w:numPr>
          <w:ilvl w:val="0"/>
          <w:numId w:val="41"/>
        </w:numPr>
      </w:pPr>
      <w:r>
        <w:rPr>
          <w:rFonts w:cs="Arial"/>
          <w:szCs w:val="18"/>
        </w:rPr>
        <w:t>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rsidR="00191DD4" w:rsidRDefault="00191DD4" w:rsidP="00F0343E">
      <w:pPr>
        <w:numPr>
          <w:ilvl w:val="0"/>
          <w:numId w:val="41"/>
        </w:numPr>
      </w:pPr>
      <w:r>
        <w:rPr>
          <w:rFonts w:cs="Arial"/>
          <w:szCs w:val="18"/>
        </w:rPr>
        <w:t>une indemnité forfaitaire pour frais de recouvrement d’un montant de 40 euros.</w:t>
      </w:r>
    </w:p>
    <w:p w:rsidR="00191DD4" w:rsidRPr="00F0343E" w:rsidRDefault="00191DD4" w:rsidP="00191DD4">
      <w:pPr>
        <w:rPr>
          <w:rFonts w:cs="Arial"/>
          <w:sz w:val="10"/>
          <w:szCs w:val="10"/>
        </w:rPr>
      </w:pPr>
    </w:p>
    <w:p w:rsidR="00191DD4" w:rsidRDefault="00191DD4" w:rsidP="00F0343E">
      <w:r>
        <w:rPr>
          <w:rFonts w:cs="Arial"/>
          <w:szCs w:val="18"/>
        </w:rPr>
        <w:t>Ce délai peut être suspendu dans les conditions décrites au décret cité ci-dessus, si le représentant du pouvoir adjudicateur constate que la demande de paiement ne comporte pas l’ensemble des pièces et des mentions prévues par la loi ou par le marché ou que celles-ci sont erronées ou incohérentes.</w:t>
      </w:r>
    </w:p>
    <w:p w:rsidR="00191DD4" w:rsidRDefault="00191DD4" w:rsidP="00191DD4">
      <w:pPr>
        <w:pStyle w:val="Txtprambule"/>
        <w:spacing w:before="0" w:line="240" w:lineRule="auto"/>
        <w:ind w:left="0" w:right="0"/>
      </w:pPr>
      <w:r>
        <w:rPr>
          <w:rFonts w:ascii="Verdana" w:hAnsi="Verdana" w:cs="Verdana"/>
          <w:szCs w:val="18"/>
        </w:rPr>
        <w:t>Les intérêts moratoires et l'indemnité forfaitaire pour frais de recouvrement sont payés dans un délai de quarante-cinq jours suivant la mise en paiement du principal.</w:t>
      </w:r>
    </w:p>
    <w:p w:rsidR="00191DD4" w:rsidRPr="007B1074" w:rsidRDefault="00191DD4" w:rsidP="00191DD4">
      <w:pPr>
        <w:pStyle w:val="Txtprambule"/>
        <w:spacing w:before="0" w:line="240" w:lineRule="auto"/>
        <w:ind w:left="0" w:right="0"/>
        <w:rPr>
          <w:rFonts w:ascii="Verdana" w:hAnsi="Verdana" w:cs="Verdana"/>
          <w:sz w:val="10"/>
          <w:szCs w:val="10"/>
        </w:rPr>
      </w:pPr>
    </w:p>
    <w:p w:rsidR="00191DD4" w:rsidRDefault="00191DD4" w:rsidP="00191DD4">
      <w:pPr>
        <w:pStyle w:val="Txtprambule"/>
        <w:spacing w:before="0" w:line="240" w:lineRule="auto"/>
        <w:ind w:left="0" w:right="0"/>
      </w:pPr>
      <w:r>
        <w:rPr>
          <w:rFonts w:ascii="Verdana" w:hAnsi="Verdana"/>
          <w:bCs/>
          <w:szCs w:val="18"/>
          <w:u w:val="single"/>
          <w:lang w:val="fr-FR"/>
        </w:rPr>
        <w:t>Modalité de financement</w:t>
      </w:r>
      <w:r>
        <w:rPr>
          <w:rFonts w:ascii="Verdana" w:hAnsi="Verdana"/>
          <w:bCs/>
          <w:szCs w:val="18"/>
          <w:lang w:val="fr-FR"/>
        </w:rPr>
        <w:t> :</w:t>
      </w:r>
      <w:r>
        <w:rPr>
          <w:rFonts w:ascii="Verdana" w:hAnsi="Verdana"/>
          <w:bCs/>
          <w:color w:val="00B0F0"/>
          <w:szCs w:val="18"/>
          <w:lang w:val="fr-FR"/>
        </w:rPr>
        <w:t xml:space="preserve"> </w:t>
      </w:r>
      <w:r w:rsidRPr="001A1ADC">
        <w:rPr>
          <w:rFonts w:ascii="Verdana" w:hAnsi="Verdana"/>
          <w:bCs/>
          <w:szCs w:val="18"/>
        </w:rPr>
        <w:t xml:space="preserve">Les prestations, objet du présent marché, seront rémunérées </w:t>
      </w:r>
      <w:r>
        <w:rPr>
          <w:rFonts w:ascii="Verdana" w:hAnsi="Verdana"/>
          <w:bCs/>
          <w:szCs w:val="18"/>
          <w:lang w:val="fr-FR"/>
        </w:rPr>
        <w:t xml:space="preserve">principalement </w:t>
      </w:r>
      <w:r w:rsidRPr="001A1ADC">
        <w:rPr>
          <w:rFonts w:ascii="Verdana" w:hAnsi="Verdana"/>
          <w:bCs/>
          <w:szCs w:val="18"/>
        </w:rPr>
        <w:t xml:space="preserve">sur fonds propres de l’établissement. </w:t>
      </w:r>
    </w:p>
    <w:p w:rsidR="00191DD4" w:rsidRDefault="00191DD4" w:rsidP="00191DD4">
      <w:pPr>
        <w:pStyle w:val="Titre2"/>
      </w:pPr>
      <w:bookmarkStart w:id="234" w:name="_Toc119597417"/>
      <w:bookmarkStart w:id="235" w:name="_Toc148692623"/>
      <w:r>
        <w:t>10.5 Avance</w:t>
      </w:r>
      <w:bookmarkEnd w:id="234"/>
      <w:bookmarkEnd w:id="235"/>
    </w:p>
    <w:p w:rsidR="00191DD4" w:rsidRDefault="00191DD4" w:rsidP="00191DD4">
      <w:pPr>
        <w:rPr>
          <w:rFonts w:cs="Calibri"/>
          <w:szCs w:val="18"/>
        </w:rPr>
      </w:pPr>
      <w:r>
        <w:rPr>
          <w:rFonts w:cs="Calibri"/>
          <w:bCs/>
          <w:iCs/>
          <w:szCs w:val="18"/>
        </w:rPr>
        <w:t>Conformément aux dispositions des articles</w:t>
      </w:r>
      <w:r>
        <w:rPr>
          <w:rFonts w:cs="Verdana"/>
          <w:szCs w:val="18"/>
        </w:rPr>
        <w:t xml:space="preserve"> </w:t>
      </w:r>
      <w:r>
        <w:rPr>
          <w:rFonts w:cs="Calibri"/>
          <w:bCs/>
          <w:iCs/>
          <w:szCs w:val="18"/>
        </w:rPr>
        <w:t xml:space="preserve">R2191-3, R2191-5 et R2191-6 à R2191-10 du Code de la Commande Publique, </w:t>
      </w:r>
      <w:r>
        <w:rPr>
          <w:rFonts w:cs="Calibri"/>
          <w:szCs w:val="18"/>
        </w:rPr>
        <w:t>en l’absence de mesures conjoncturelles contraires, une avance est versée au titulaire.</w:t>
      </w:r>
    </w:p>
    <w:p w:rsidR="00191DD4" w:rsidRPr="00191DD4" w:rsidRDefault="00191DD4" w:rsidP="00191DD4">
      <w:pPr>
        <w:autoSpaceDE w:val="0"/>
        <w:rPr>
          <w:sz w:val="16"/>
          <w:szCs w:val="16"/>
        </w:rPr>
      </w:pPr>
      <w:r w:rsidRPr="00191DD4">
        <w:rPr>
          <w:rFonts w:cs="Calibri"/>
          <w:bCs/>
          <w:i/>
          <w:iCs/>
          <w:sz w:val="16"/>
          <w:szCs w:val="16"/>
        </w:rPr>
        <w:t xml:space="preserve">S’agissant d’un accord-cadre à marchés subséquents, les dispositions des articles R2191-16 et R2191-19 du Code de la Commande Publique ne s’appliquent pas, chaque marché subséquent obéissant aux stipulations du CCAG-MOE relatif au règlement des comptes. </w:t>
      </w:r>
    </w:p>
    <w:p w:rsidR="00191DD4" w:rsidRPr="007B1074" w:rsidRDefault="00191DD4" w:rsidP="00191DD4">
      <w:pPr>
        <w:rPr>
          <w:rFonts w:cs="Calibri"/>
          <w:sz w:val="10"/>
          <w:szCs w:val="10"/>
        </w:rPr>
      </w:pPr>
    </w:p>
    <w:p w:rsidR="00191DD4" w:rsidRDefault="00191DD4" w:rsidP="00191DD4">
      <w:pPr>
        <w:rPr>
          <w:rFonts w:cs="Calibri"/>
          <w:b/>
          <w:szCs w:val="18"/>
        </w:rPr>
      </w:pPr>
      <w:r>
        <w:rPr>
          <w:rFonts w:cs="Calibri"/>
          <w:b/>
          <w:szCs w:val="18"/>
        </w:rPr>
        <w:t xml:space="preserve">Pourcentage de l’avance versée au titulaire du présent marché : </w:t>
      </w:r>
      <w:r w:rsidRPr="008A434C">
        <w:rPr>
          <w:rFonts w:cs="Calibri"/>
          <w:b/>
          <w:szCs w:val="18"/>
        </w:rPr>
        <w:t>10%</w:t>
      </w:r>
    </w:p>
    <w:p w:rsidR="00191DD4" w:rsidRPr="00F0343E" w:rsidRDefault="00191DD4" w:rsidP="00191DD4">
      <w:pPr>
        <w:rPr>
          <w:rFonts w:cs="Calibri"/>
          <w:b/>
          <w:sz w:val="10"/>
          <w:szCs w:val="10"/>
        </w:rPr>
      </w:pPr>
    </w:p>
    <w:p w:rsidR="00191DD4" w:rsidRPr="005C6E56" w:rsidRDefault="00191DD4" w:rsidP="00191DD4">
      <w:pPr>
        <w:rPr>
          <w:rFonts w:cs="Verdana"/>
          <w:szCs w:val="18"/>
        </w:rPr>
      </w:pPr>
      <w:r w:rsidRPr="001A1ADC">
        <w:rPr>
          <w:rFonts w:cs="Calibri"/>
          <w:szCs w:val="18"/>
        </w:rPr>
        <w:lastRenderedPageBreak/>
        <w:t xml:space="preserve">Par dérogation à l’article </w:t>
      </w:r>
      <w:r>
        <w:rPr>
          <w:rFonts w:cs="Calibri"/>
          <w:szCs w:val="18"/>
        </w:rPr>
        <w:t>A</w:t>
      </w:r>
      <w:r w:rsidRPr="001A1ADC">
        <w:rPr>
          <w:rFonts w:cs="Calibri"/>
          <w:szCs w:val="18"/>
        </w:rPr>
        <w:t>11.1 du CCAG-MOE (option A), le taux de l'avance susmentionné est appliqué au maitre d’œuvre ou son sous-traitant qu’il soit une petite ou moyenne entreprise au sens du code de la commande publique ou non.</w:t>
      </w:r>
    </w:p>
    <w:p w:rsidR="00191DD4" w:rsidRPr="007B1074" w:rsidRDefault="00191DD4" w:rsidP="00191DD4">
      <w:pPr>
        <w:rPr>
          <w:rFonts w:cs="Calibri"/>
          <w:sz w:val="10"/>
          <w:szCs w:val="10"/>
        </w:rPr>
      </w:pPr>
    </w:p>
    <w:p w:rsidR="00191DD4" w:rsidRDefault="00191DD4" w:rsidP="00191DD4">
      <w:bookmarkStart w:id="236" w:name="_Hlk37375060"/>
      <w:r>
        <w:rPr>
          <w:rFonts w:cs="Calibri"/>
          <w:bCs/>
          <w:iCs/>
          <w:szCs w:val="18"/>
          <w:u w:val="single"/>
        </w:rPr>
        <w:t>Conditions de versement de l’avance</w:t>
      </w:r>
      <w:r>
        <w:rPr>
          <w:rFonts w:cs="Calibri"/>
          <w:szCs w:val="18"/>
          <w:u w:val="single"/>
        </w:rPr>
        <w:t xml:space="preserve"> </w:t>
      </w:r>
      <w:r>
        <w:rPr>
          <w:rFonts w:cs="Calibri"/>
          <w:bCs/>
          <w:iCs/>
          <w:szCs w:val="18"/>
        </w:rPr>
        <w:t>:</w:t>
      </w:r>
    </w:p>
    <w:bookmarkEnd w:id="236"/>
    <w:p w:rsidR="00191DD4" w:rsidRDefault="00191DD4" w:rsidP="00191DD4">
      <w:pPr>
        <w:autoSpaceDE w:val="0"/>
        <w:rPr>
          <w:rFonts w:cs="Calibri"/>
          <w:b/>
          <w:szCs w:val="18"/>
        </w:rPr>
      </w:pPr>
      <w:r>
        <w:rPr>
          <w:rFonts w:cs="Calibri"/>
          <w:szCs w:val="18"/>
        </w:rPr>
        <w:t xml:space="preserve">Cette avance est accordée </w:t>
      </w:r>
      <w:r>
        <w:rPr>
          <w:rFonts w:cs="Calibri"/>
          <w:b/>
          <w:szCs w:val="18"/>
        </w:rPr>
        <w:t>pour chaque marché subséquent d’un montant supérieur à 50 000 euros HT et dont le délai d’exécution est supérieur à deux (2) mois.</w:t>
      </w:r>
    </w:p>
    <w:p w:rsidR="00191DD4" w:rsidRPr="00F0343E" w:rsidRDefault="00191DD4" w:rsidP="00191DD4">
      <w:pPr>
        <w:autoSpaceDE w:val="0"/>
        <w:rPr>
          <w:rFonts w:cs="Calibri"/>
          <w:b/>
          <w:sz w:val="10"/>
          <w:szCs w:val="10"/>
        </w:rPr>
      </w:pPr>
    </w:p>
    <w:p w:rsidR="00191DD4" w:rsidRDefault="00191DD4" w:rsidP="00191DD4">
      <w:pPr>
        <w:autoSpaceDE w:val="0"/>
      </w:pPr>
      <w:r>
        <w:rPr>
          <w:rFonts w:cs="Calibri"/>
          <w:szCs w:val="18"/>
          <w:u w:val="single"/>
        </w:rPr>
        <w:t>Modalités de remboursement de l’avance</w:t>
      </w:r>
      <w:r>
        <w:rPr>
          <w:rFonts w:cs="Calibri"/>
          <w:szCs w:val="18"/>
        </w:rPr>
        <w:t xml:space="preserve"> : </w:t>
      </w:r>
    </w:p>
    <w:p w:rsidR="00191DD4" w:rsidRDefault="00191DD4" w:rsidP="00191DD4">
      <w:pPr>
        <w:autoSpaceDE w:val="0"/>
      </w:pPr>
      <w:r>
        <w:rPr>
          <w:rFonts w:cs="Calibri"/>
          <w:szCs w:val="18"/>
        </w:rPr>
        <w:t>Le paiement de l’avance intervient sans formalité dans un délai maximum de trente (30) jours à partir de la notification de l’acte portant commencement d’exécution des marchés subséquents au titre desquels est accordée cette avance (soit à compter de la date de sa notification).</w:t>
      </w:r>
    </w:p>
    <w:p w:rsidR="00303C58" w:rsidRPr="00191DD4" w:rsidRDefault="00191DD4" w:rsidP="00191DD4">
      <w:pPr>
        <w:autoSpaceDE w:val="0"/>
      </w:pPr>
      <w:r>
        <w:rPr>
          <w:rFonts w:cs="Calibri"/>
          <w:szCs w:val="18"/>
        </w:rPr>
        <w:t xml:space="preserve">Le remboursement de l’avance commence lorsque le montant cumulé des prestations exécutées atteint 65% du montant initial TTC du </w:t>
      </w:r>
      <w:r>
        <w:rPr>
          <w:rFonts w:cs="Verdana"/>
          <w:szCs w:val="18"/>
        </w:rPr>
        <w:t>marché subséquent</w:t>
      </w:r>
      <w:r>
        <w:rPr>
          <w:rFonts w:cs="Calibri"/>
          <w:szCs w:val="18"/>
        </w:rPr>
        <w:t xml:space="preserve">. Le remboursement s’effectue par précompte sur les sommes dues au titulaire. Ce remboursement doit être terminé lorsque le montant cumulé des prestations exécutées atteint 80% du montant initial TTC du </w:t>
      </w:r>
      <w:r>
        <w:rPr>
          <w:rFonts w:cs="Verdana"/>
          <w:szCs w:val="18"/>
        </w:rPr>
        <w:t xml:space="preserve">marché subséquent </w:t>
      </w:r>
      <w:r>
        <w:rPr>
          <w:rFonts w:cs="Calibri"/>
          <w:szCs w:val="18"/>
        </w:rPr>
        <w:t>au titre duquel est accordée cette avance.</w:t>
      </w:r>
      <w:bookmarkEnd w:id="220"/>
      <w:bookmarkEnd w:id="223"/>
      <w:bookmarkEnd w:id="224"/>
      <w:bookmarkEnd w:id="225"/>
      <w:bookmarkEnd w:id="226"/>
      <w:bookmarkEnd w:id="227"/>
    </w:p>
    <w:p w:rsidR="009B162C" w:rsidRDefault="00191DD4" w:rsidP="00191DD4">
      <w:pPr>
        <w:pStyle w:val="Titre2"/>
      </w:pPr>
      <w:bookmarkStart w:id="237" w:name="_Toc133586054"/>
      <w:bookmarkStart w:id="238" w:name="_Toc133586550"/>
      <w:bookmarkStart w:id="239" w:name="_Toc133586629"/>
      <w:bookmarkStart w:id="240" w:name="_Toc133586795"/>
      <w:bookmarkStart w:id="241" w:name="_Toc148692624"/>
      <w:r>
        <w:t>10.5</w:t>
      </w:r>
      <w:r w:rsidR="009B162C" w:rsidRPr="009B162C">
        <w:t xml:space="preserve"> </w:t>
      </w:r>
      <w:r w:rsidR="009B162C">
        <w:t>L’avancement</w:t>
      </w:r>
      <w:bookmarkEnd w:id="237"/>
      <w:bookmarkEnd w:id="238"/>
      <w:bookmarkEnd w:id="239"/>
      <w:bookmarkEnd w:id="240"/>
      <w:bookmarkEnd w:id="241"/>
    </w:p>
    <w:p w:rsidR="00034933" w:rsidRPr="003F015F" w:rsidRDefault="00034933" w:rsidP="00034933">
      <w:r w:rsidRPr="009B162C">
        <w:t xml:space="preserve">L’avancement est calculé au prorata </w:t>
      </w:r>
      <w:proofErr w:type="spellStart"/>
      <w:r w:rsidRPr="009B162C">
        <w:t>temporis</w:t>
      </w:r>
      <w:proofErr w:type="spellEnd"/>
      <w:r w:rsidRPr="009B162C">
        <w:t xml:space="preserve"> de l’avancement des travaux y compris période de préparation), au moment de l’établissement du décompte, en considérant la durée prévue aux marchés de travaux, éventuellement modifié par des avenants.</w:t>
      </w:r>
    </w:p>
    <w:p w:rsidR="009B162C" w:rsidRPr="00661B72" w:rsidRDefault="00191DD4" w:rsidP="006A12A2">
      <w:pPr>
        <w:pStyle w:val="Titre2"/>
      </w:pPr>
      <w:bookmarkStart w:id="242" w:name="_Toc148692625"/>
      <w:bookmarkStart w:id="243" w:name="_Toc374325304"/>
      <w:bookmarkStart w:id="244" w:name="_Toc374413876"/>
      <w:r>
        <w:t>10.6</w:t>
      </w:r>
      <w:r w:rsidR="00034933" w:rsidRPr="00661B72">
        <w:t xml:space="preserve"> </w:t>
      </w:r>
      <w:r w:rsidR="00894298" w:rsidRPr="00F17189">
        <w:t>Les acomptes</w:t>
      </w:r>
      <w:bookmarkEnd w:id="242"/>
    </w:p>
    <w:bookmarkEnd w:id="243"/>
    <w:bookmarkEnd w:id="244"/>
    <w:p w:rsidR="00592629" w:rsidRDefault="007B1074" w:rsidP="007B1074">
      <w:r>
        <w:t>Les acomptes sont calculés par référence aux valeurs figurant dans la décomposition de la rémunération du Maître d’œuvre.</w:t>
      </w:r>
    </w:p>
    <w:p w:rsidR="007B1074" w:rsidRPr="00F0343E" w:rsidRDefault="007B1074" w:rsidP="007B1074">
      <w:pPr>
        <w:rPr>
          <w:sz w:val="10"/>
          <w:szCs w:val="10"/>
        </w:rPr>
      </w:pPr>
    </w:p>
    <w:p w:rsidR="00661B72" w:rsidRPr="00661B72" w:rsidRDefault="00661B72" w:rsidP="009B162C">
      <w:pPr>
        <w:rPr>
          <w:u w:val="single"/>
        </w:rPr>
      </w:pPr>
      <w:r w:rsidRPr="00661B72">
        <w:rPr>
          <w:u w:val="single"/>
        </w:rPr>
        <w:t xml:space="preserve">Retards pour raisons indépendantes du maître d’œuvre </w:t>
      </w:r>
    </w:p>
    <w:p w:rsidR="004A1019" w:rsidRDefault="004A1019" w:rsidP="009B162C">
      <w:r w:rsidRPr="00790C64">
        <w:t>Compte tenu que ce dossier est en partie constitué par des documents à fournir par les entreprises, l’achèvement complet de cet élément peut être retardé pou</w:t>
      </w:r>
      <w:r w:rsidR="00203B3F">
        <w:t>r des raisons indépendantes du M</w:t>
      </w:r>
      <w:r w:rsidRPr="00790C64">
        <w:t>aître d’œuvre.</w:t>
      </w:r>
    </w:p>
    <w:p w:rsidR="00203B3F" w:rsidRPr="007B1074" w:rsidRDefault="00203B3F" w:rsidP="00203B3F">
      <w:pPr>
        <w:rPr>
          <w:sz w:val="10"/>
          <w:szCs w:val="10"/>
        </w:rPr>
      </w:pPr>
    </w:p>
    <w:p w:rsidR="004A1019" w:rsidRPr="00790C64" w:rsidRDefault="004A1019" w:rsidP="009B162C">
      <w:pPr>
        <w:pStyle w:val="Txttitre3"/>
        <w:spacing w:before="0" w:line="240" w:lineRule="auto"/>
        <w:ind w:left="0"/>
        <w:rPr>
          <w:rFonts w:ascii="Verdana" w:hAnsi="Verdana" w:cs="Arial"/>
          <w:sz w:val="18"/>
          <w:szCs w:val="18"/>
        </w:rPr>
      </w:pPr>
      <w:r w:rsidRPr="00790C64">
        <w:rPr>
          <w:rFonts w:ascii="Verdana" w:hAnsi="Verdana" w:cs="Arial"/>
          <w:sz w:val="18"/>
          <w:szCs w:val="18"/>
        </w:rPr>
        <w:t>Cet élément peut donc faire l’objet de deux règlements partiels :</w:t>
      </w:r>
    </w:p>
    <w:p w:rsidR="004A1019" w:rsidRPr="00790C64" w:rsidRDefault="00203B3F" w:rsidP="00467126">
      <w:pPr>
        <w:pStyle w:val="Txttitre3"/>
        <w:numPr>
          <w:ilvl w:val="0"/>
          <w:numId w:val="6"/>
        </w:numPr>
        <w:spacing w:before="0" w:line="240" w:lineRule="auto"/>
        <w:ind w:left="709" w:hanging="218"/>
        <w:rPr>
          <w:rFonts w:ascii="Verdana" w:hAnsi="Verdana" w:cs="Arial"/>
          <w:color w:val="000000"/>
          <w:sz w:val="18"/>
          <w:szCs w:val="18"/>
        </w:rPr>
      </w:pPr>
      <w:r w:rsidRPr="00790C64">
        <w:rPr>
          <w:rFonts w:ascii="Verdana" w:hAnsi="Verdana" w:cs="Arial"/>
          <w:sz w:val="18"/>
          <w:szCs w:val="18"/>
        </w:rPr>
        <w:t>L’un</w:t>
      </w:r>
      <w:r w:rsidR="004A1019" w:rsidRPr="00790C64">
        <w:rPr>
          <w:rFonts w:ascii="Verdana" w:hAnsi="Verdana" w:cs="Arial"/>
          <w:sz w:val="18"/>
          <w:szCs w:val="18"/>
        </w:rPr>
        <w:t xml:space="preserve"> à la remise </w:t>
      </w:r>
      <w:r w:rsidR="004A1019" w:rsidRPr="00790C64">
        <w:rPr>
          <w:rFonts w:ascii="Verdana" w:hAnsi="Verdana" w:cs="Arial"/>
          <w:color w:val="000000"/>
          <w:sz w:val="18"/>
          <w:szCs w:val="18"/>
        </w:rPr>
        <w:t>(au plus tard à l’achèvement du délai fixé) du dossier tel qu’il a pu être constitué à cette date,</w:t>
      </w:r>
    </w:p>
    <w:p w:rsidR="004A1019" w:rsidRPr="00790C64" w:rsidRDefault="00203B3F" w:rsidP="008F2B6A">
      <w:pPr>
        <w:pStyle w:val="Txttitre3"/>
        <w:numPr>
          <w:ilvl w:val="0"/>
          <w:numId w:val="6"/>
        </w:numPr>
        <w:spacing w:before="0" w:line="240" w:lineRule="auto"/>
        <w:ind w:left="851"/>
        <w:rPr>
          <w:rFonts w:ascii="Verdana" w:hAnsi="Verdana" w:cs="Arial"/>
          <w:color w:val="000000"/>
          <w:sz w:val="18"/>
          <w:szCs w:val="18"/>
        </w:rPr>
      </w:pPr>
      <w:r w:rsidRPr="00790C64">
        <w:rPr>
          <w:rFonts w:ascii="Verdana" w:hAnsi="Verdana" w:cs="Arial"/>
          <w:color w:val="000000"/>
          <w:sz w:val="18"/>
          <w:szCs w:val="18"/>
        </w:rPr>
        <w:t>L’autre</w:t>
      </w:r>
      <w:r w:rsidR="004A1019" w:rsidRPr="00790C64">
        <w:rPr>
          <w:rFonts w:ascii="Verdana" w:hAnsi="Verdana" w:cs="Arial"/>
          <w:color w:val="000000"/>
          <w:sz w:val="18"/>
          <w:szCs w:val="18"/>
        </w:rPr>
        <w:t xml:space="preserve"> après fourniture de toutes les pièces dues par les entreprises.</w:t>
      </w:r>
    </w:p>
    <w:p w:rsidR="00203B3F" w:rsidRPr="00F0343E" w:rsidRDefault="00203B3F" w:rsidP="00F108DC">
      <w:pPr>
        <w:pStyle w:val="Txttitre3"/>
        <w:spacing w:before="0" w:line="240" w:lineRule="auto"/>
        <w:ind w:left="0"/>
        <w:rPr>
          <w:rFonts w:ascii="Verdana" w:hAnsi="Verdana" w:cs="Arial"/>
          <w:color w:val="000000"/>
          <w:sz w:val="10"/>
          <w:szCs w:val="10"/>
        </w:rPr>
      </w:pPr>
    </w:p>
    <w:p w:rsidR="004A1019" w:rsidRPr="00790C64" w:rsidRDefault="004A1019" w:rsidP="00F108DC">
      <w:pPr>
        <w:pStyle w:val="Txttitre3"/>
        <w:spacing w:before="0" w:line="240" w:lineRule="auto"/>
        <w:ind w:left="0"/>
        <w:rPr>
          <w:rFonts w:ascii="Verdana" w:hAnsi="Verdana" w:cs="Arial"/>
          <w:color w:val="000000"/>
          <w:sz w:val="18"/>
          <w:szCs w:val="18"/>
        </w:rPr>
      </w:pPr>
      <w:r w:rsidRPr="00790C64">
        <w:rPr>
          <w:rFonts w:ascii="Verdana" w:hAnsi="Verdana" w:cs="Arial"/>
          <w:color w:val="000000"/>
          <w:sz w:val="18"/>
          <w:szCs w:val="18"/>
        </w:rPr>
        <w:t>Les pourcentages (</w:t>
      </w:r>
      <w:r w:rsidR="00002CB0">
        <w:rPr>
          <w:rFonts w:ascii="Verdana" w:hAnsi="Verdana" w:cs="Arial"/>
          <w:color w:val="000000"/>
          <w:sz w:val="18"/>
          <w:szCs w:val="18"/>
        </w:rPr>
        <w:t>arrondis à l’entier inférieur</w:t>
      </w:r>
      <w:r w:rsidRPr="00790C64">
        <w:rPr>
          <w:rFonts w:ascii="Verdana" w:hAnsi="Verdana" w:cs="Arial"/>
          <w:color w:val="000000"/>
          <w:sz w:val="18"/>
          <w:szCs w:val="18"/>
        </w:rPr>
        <w:t xml:space="preserve">) respectifs d’avancement </w:t>
      </w:r>
      <w:r w:rsidR="00203B3F">
        <w:rPr>
          <w:rFonts w:ascii="Verdana" w:hAnsi="Verdana" w:cs="Arial"/>
          <w:color w:val="000000"/>
          <w:sz w:val="18"/>
          <w:szCs w:val="18"/>
        </w:rPr>
        <w:t>du D.O.E. sont proposés par le M</w:t>
      </w:r>
      <w:r w:rsidRPr="00790C64">
        <w:rPr>
          <w:rFonts w:ascii="Verdana" w:hAnsi="Verdana" w:cs="Arial"/>
          <w:color w:val="000000"/>
          <w:sz w:val="18"/>
          <w:szCs w:val="18"/>
        </w:rPr>
        <w:t xml:space="preserve">aître d’œuvre et arrêtés par le </w:t>
      </w:r>
      <w:r w:rsidR="00844245" w:rsidRPr="00790C64">
        <w:rPr>
          <w:rFonts w:ascii="Verdana" w:hAnsi="Verdana" w:cs="Arial"/>
          <w:color w:val="000000"/>
          <w:sz w:val="18"/>
          <w:szCs w:val="18"/>
        </w:rPr>
        <w:t>représentant de la DDPI</w:t>
      </w:r>
      <w:r w:rsidRPr="00790C64">
        <w:rPr>
          <w:rFonts w:ascii="Verdana" w:hAnsi="Verdana" w:cs="Arial"/>
          <w:color w:val="000000"/>
          <w:sz w:val="18"/>
          <w:szCs w:val="18"/>
        </w:rPr>
        <w:t>.</w:t>
      </w:r>
    </w:p>
    <w:p w:rsidR="00203B3F" w:rsidRPr="007B1074" w:rsidRDefault="00203B3F" w:rsidP="00F108DC">
      <w:pPr>
        <w:pStyle w:val="Txttitre3"/>
        <w:spacing w:before="0" w:line="240" w:lineRule="auto"/>
        <w:ind w:left="0"/>
        <w:rPr>
          <w:rFonts w:ascii="Verdana" w:hAnsi="Verdana" w:cs="Arial"/>
          <w:color w:val="000000"/>
          <w:sz w:val="10"/>
          <w:szCs w:val="10"/>
        </w:rPr>
      </w:pPr>
    </w:p>
    <w:p w:rsidR="004A1019" w:rsidRDefault="004A1019" w:rsidP="00F108DC">
      <w:pPr>
        <w:pStyle w:val="Txttitre3"/>
        <w:spacing w:before="0" w:line="240" w:lineRule="auto"/>
        <w:ind w:left="0"/>
        <w:rPr>
          <w:rFonts w:ascii="Verdana" w:hAnsi="Verdana" w:cs="Arial"/>
          <w:sz w:val="18"/>
          <w:szCs w:val="18"/>
        </w:rPr>
      </w:pPr>
      <w:r w:rsidRPr="00790C64">
        <w:rPr>
          <w:rFonts w:ascii="Verdana" w:hAnsi="Verdana" w:cs="Arial"/>
          <w:color w:val="000000"/>
          <w:sz w:val="18"/>
          <w:szCs w:val="18"/>
        </w:rPr>
        <w:t>Ce système n’est cependant appliqué que si le maître d’œuvre justifie</w:t>
      </w:r>
      <w:r w:rsidRPr="00790C64">
        <w:rPr>
          <w:rFonts w:ascii="Verdana" w:hAnsi="Verdana" w:cs="Arial"/>
          <w:sz w:val="18"/>
          <w:szCs w:val="18"/>
        </w:rPr>
        <w:t xml:space="preserve"> qu’il a mis en œuvre vis à vis des entreprises fautives tous les moyens coercitifs de sa compétence.</w:t>
      </w:r>
    </w:p>
    <w:p w:rsidR="00191DD4" w:rsidRDefault="00191DD4" w:rsidP="009B162C">
      <w:pPr>
        <w:rPr>
          <w:u w:val="single"/>
        </w:rPr>
      </w:pPr>
    </w:p>
    <w:p w:rsidR="009F4700" w:rsidRDefault="00661B72" w:rsidP="009B162C">
      <w:r>
        <w:rPr>
          <w:u w:val="single"/>
        </w:rPr>
        <w:t xml:space="preserve">Versement des sommes dues au Maître d’œuvre </w:t>
      </w:r>
    </w:p>
    <w:p w:rsidR="00203B3F" w:rsidRPr="009B162C" w:rsidRDefault="00203B3F" w:rsidP="009B162C">
      <w:r w:rsidRPr="009B162C">
        <w:t>Après que le M</w:t>
      </w:r>
      <w:r w:rsidR="004A1019" w:rsidRPr="009B162C">
        <w:t>aître d’œuvre a rempli toutes ses obligati</w:t>
      </w:r>
      <w:r w:rsidRPr="009B162C">
        <w:t>ons d’assistance au M</w:t>
      </w:r>
      <w:r w:rsidR="004A1019" w:rsidRPr="009B162C">
        <w:t xml:space="preserve">aître d’ouvrage suivant </w:t>
      </w:r>
      <w:r w:rsidR="00720EDA" w:rsidRPr="009B162C">
        <w:t>C.C.T.P</w:t>
      </w:r>
      <w:r w:rsidR="004A1019" w:rsidRPr="009B162C">
        <w:t xml:space="preserve">, </w:t>
      </w:r>
      <w:r w:rsidRPr="009B162C">
        <w:t>le solde des sommes dues au M</w:t>
      </w:r>
      <w:r w:rsidR="004A1019" w:rsidRPr="009B162C">
        <w:t xml:space="preserve">aître d’œuvre sera versé dès la délivrance du procès-verbal constatant que toutes les obligations découlant du marché de travaux ont été remplies. </w:t>
      </w:r>
    </w:p>
    <w:p w:rsidR="0091736F" w:rsidRPr="009B162C" w:rsidRDefault="0017084F" w:rsidP="009B162C">
      <w:r>
        <w:t>Ce</w:t>
      </w:r>
      <w:r w:rsidR="004A1019" w:rsidRPr="009B162C">
        <w:t xml:space="preserve"> procès-verbal ne pourra être délivré qu’après la levée de toutes les réserves mentionnées lors de la réception des travaux, après remise des décomptes généraux acceptés par les entreprises et le Maître d’Ouvrage, et après la réparation de tous les désordres signalés par le Maître d’Ouvrage pendant l’année de garantie de parfait achèvement. Il sera délivré au plus tôt à la fin de l’année de garantie de parfait achèvement et après la liquidation des décomptes généraux.</w:t>
      </w:r>
    </w:p>
    <w:p w:rsidR="001946CC" w:rsidRPr="00191DD4" w:rsidRDefault="00191DD4" w:rsidP="00191DD4">
      <w:pPr>
        <w:pStyle w:val="Titre2"/>
      </w:pPr>
      <w:bookmarkStart w:id="245" w:name="_Toc133586059"/>
      <w:bookmarkStart w:id="246" w:name="_Toc133586555"/>
      <w:bookmarkStart w:id="247" w:name="_Toc133586634"/>
      <w:bookmarkStart w:id="248" w:name="_Toc133586800"/>
      <w:bookmarkStart w:id="249" w:name="_Toc148692626"/>
      <w:r w:rsidRPr="00191DD4">
        <w:t>10.7</w:t>
      </w:r>
      <w:r w:rsidR="00EC5697" w:rsidRPr="00191DD4">
        <w:t xml:space="preserve"> </w:t>
      </w:r>
      <w:r w:rsidR="001946CC" w:rsidRPr="00191DD4">
        <w:t xml:space="preserve">Décompte final </w:t>
      </w:r>
      <w:r w:rsidR="00451B9B" w:rsidRPr="00191DD4">
        <w:t>–</w:t>
      </w:r>
      <w:r w:rsidR="001946CC" w:rsidRPr="00191DD4">
        <w:t xml:space="preserve"> Solde</w:t>
      </w:r>
      <w:bookmarkEnd w:id="245"/>
      <w:bookmarkEnd w:id="246"/>
      <w:bookmarkEnd w:id="247"/>
      <w:bookmarkEnd w:id="248"/>
      <w:bookmarkEnd w:id="249"/>
      <w:r w:rsidR="008536A7" w:rsidRPr="00191DD4">
        <w:t xml:space="preserve"> </w:t>
      </w:r>
    </w:p>
    <w:p w:rsidR="001946CC" w:rsidRPr="002F7873" w:rsidRDefault="001946CC" w:rsidP="009F4700">
      <w:pPr>
        <w:pStyle w:val="Corpsdetexte23"/>
        <w:rPr>
          <w:rFonts w:ascii="Verdana" w:hAnsi="Verdana"/>
          <w:bCs/>
          <w:szCs w:val="18"/>
        </w:rPr>
      </w:pPr>
      <w:r w:rsidRPr="00790C64">
        <w:rPr>
          <w:rFonts w:ascii="Verdana" w:hAnsi="Verdana"/>
          <w:bCs/>
          <w:szCs w:val="18"/>
        </w:rPr>
        <w:t xml:space="preserve">Après </w:t>
      </w:r>
      <w:r w:rsidRPr="00790C64">
        <w:rPr>
          <w:rFonts w:ascii="Verdana" w:hAnsi="Verdana"/>
          <w:szCs w:val="18"/>
        </w:rPr>
        <w:t xml:space="preserve">délivrance du procès-verbal constatant que toutes les obligations découlant </w:t>
      </w:r>
      <w:r w:rsidR="00505C77">
        <w:rPr>
          <w:rFonts w:ascii="Verdana" w:hAnsi="Verdana"/>
          <w:szCs w:val="18"/>
        </w:rPr>
        <w:t>d’un marché subséquent</w:t>
      </w:r>
      <w:r w:rsidRPr="00790C64">
        <w:rPr>
          <w:rFonts w:ascii="Verdana" w:hAnsi="Verdana"/>
          <w:szCs w:val="18"/>
        </w:rPr>
        <w:t xml:space="preserve"> ont été remplies</w:t>
      </w:r>
      <w:r w:rsidRPr="00790C64">
        <w:rPr>
          <w:rFonts w:ascii="Verdana" w:hAnsi="Verdana"/>
          <w:bCs/>
          <w:szCs w:val="18"/>
        </w:rPr>
        <w:t>, le maîtr</w:t>
      </w:r>
      <w:r w:rsidR="00203B3F">
        <w:rPr>
          <w:rFonts w:ascii="Verdana" w:hAnsi="Verdana"/>
          <w:bCs/>
          <w:szCs w:val="18"/>
        </w:rPr>
        <w:t>e d’œuvre adresse au M</w:t>
      </w:r>
      <w:r w:rsidR="00DE0435" w:rsidRPr="00790C64">
        <w:rPr>
          <w:rFonts w:ascii="Verdana" w:hAnsi="Verdana"/>
          <w:bCs/>
          <w:szCs w:val="18"/>
        </w:rPr>
        <w:t>aître d</w:t>
      </w:r>
      <w:r w:rsidRPr="00790C64">
        <w:rPr>
          <w:rFonts w:ascii="Verdana" w:hAnsi="Verdana"/>
          <w:bCs/>
          <w:szCs w:val="18"/>
        </w:rPr>
        <w:t xml:space="preserve">’ouvrage une demande de paiement de solde sous forme d’un projet de décompte final. </w:t>
      </w:r>
      <w:r w:rsidR="00844245" w:rsidRPr="00790C64">
        <w:rPr>
          <w:rFonts w:ascii="Verdana" w:hAnsi="Verdana"/>
          <w:bCs/>
          <w:color w:val="000000"/>
          <w:szCs w:val="18"/>
        </w:rPr>
        <w:t xml:space="preserve">Ce projet établi le montant total des sommes auxquelles le titulaire prétend du fait de l’exécution </w:t>
      </w:r>
      <w:r w:rsidR="00451B9B" w:rsidRPr="002F7873">
        <w:rPr>
          <w:rFonts w:ascii="Verdana" w:hAnsi="Verdana"/>
          <w:bCs/>
          <w:szCs w:val="18"/>
        </w:rPr>
        <w:t>d</w:t>
      </w:r>
      <w:r w:rsidR="003C1C0E" w:rsidRPr="002F7873">
        <w:rPr>
          <w:rFonts w:ascii="Verdana" w:hAnsi="Verdana"/>
          <w:bCs/>
          <w:szCs w:val="18"/>
        </w:rPr>
        <w:t xml:space="preserve">e l’ensemble des </w:t>
      </w:r>
      <w:r w:rsidR="00451B9B" w:rsidRPr="002F7873">
        <w:rPr>
          <w:rFonts w:ascii="Verdana" w:hAnsi="Verdana"/>
          <w:bCs/>
          <w:szCs w:val="18"/>
        </w:rPr>
        <w:t>tranche</w:t>
      </w:r>
      <w:r w:rsidR="003C1C0E" w:rsidRPr="002F7873">
        <w:rPr>
          <w:rFonts w:ascii="Verdana" w:hAnsi="Verdana"/>
          <w:bCs/>
          <w:szCs w:val="18"/>
        </w:rPr>
        <w:t>s</w:t>
      </w:r>
      <w:r w:rsidR="00844245" w:rsidRPr="002F7873">
        <w:rPr>
          <w:rFonts w:ascii="Verdana" w:hAnsi="Verdana"/>
          <w:bCs/>
          <w:szCs w:val="18"/>
        </w:rPr>
        <w:t>.</w:t>
      </w:r>
    </w:p>
    <w:p w:rsidR="00203B3F" w:rsidRPr="00F0343E" w:rsidRDefault="00203B3F" w:rsidP="00203B3F">
      <w:pPr>
        <w:ind w:left="284"/>
        <w:rPr>
          <w:rFonts w:cs="Arial"/>
          <w:bCs/>
          <w:sz w:val="10"/>
          <w:szCs w:val="10"/>
        </w:rPr>
      </w:pPr>
    </w:p>
    <w:p w:rsidR="001946CC" w:rsidRPr="00790C64" w:rsidRDefault="001946CC" w:rsidP="009F4700">
      <w:pPr>
        <w:rPr>
          <w:rFonts w:cs="Arial"/>
          <w:bCs/>
          <w:szCs w:val="18"/>
        </w:rPr>
      </w:pPr>
      <w:r w:rsidRPr="00790C64">
        <w:rPr>
          <w:rFonts w:cs="Arial"/>
          <w:bCs/>
          <w:szCs w:val="18"/>
        </w:rPr>
        <w:t>Ce projet de décom</w:t>
      </w:r>
      <w:r w:rsidR="00203B3F">
        <w:rPr>
          <w:rFonts w:cs="Arial"/>
          <w:bCs/>
          <w:szCs w:val="18"/>
        </w:rPr>
        <w:t>pte final devra être envoyé au M</w:t>
      </w:r>
      <w:r w:rsidRPr="00790C64">
        <w:rPr>
          <w:rFonts w:cs="Arial"/>
          <w:bCs/>
          <w:szCs w:val="18"/>
        </w:rPr>
        <w:t xml:space="preserve">aître d’ouvrage dans un délai de 30 jours suivant la plus tardive de ces deux dates : </w:t>
      </w:r>
    </w:p>
    <w:p w:rsidR="001946CC" w:rsidRPr="00790C64" w:rsidRDefault="00203B3F" w:rsidP="008F2B6A">
      <w:pPr>
        <w:numPr>
          <w:ilvl w:val="0"/>
          <w:numId w:val="7"/>
        </w:numPr>
        <w:ind w:left="851"/>
        <w:rPr>
          <w:rFonts w:cs="Arial"/>
          <w:bCs/>
          <w:szCs w:val="18"/>
        </w:rPr>
      </w:pPr>
      <w:r w:rsidRPr="00790C64">
        <w:rPr>
          <w:rFonts w:cs="Arial"/>
          <w:bCs/>
          <w:szCs w:val="18"/>
        </w:rPr>
        <w:t>La</w:t>
      </w:r>
      <w:r w:rsidR="001946CC" w:rsidRPr="00790C64">
        <w:rPr>
          <w:rFonts w:cs="Arial"/>
          <w:bCs/>
          <w:szCs w:val="18"/>
        </w:rPr>
        <w:t xml:space="preserve"> date de publication dans la revue « Moniteur des Travaux Publics</w:t>
      </w:r>
      <w:r w:rsidR="00513551">
        <w:rPr>
          <w:rFonts w:cs="Arial"/>
          <w:bCs/>
          <w:szCs w:val="18"/>
        </w:rPr>
        <w:t xml:space="preserve"> </w:t>
      </w:r>
      <w:r w:rsidR="00513551" w:rsidRPr="00790C64">
        <w:rPr>
          <w:rFonts w:cs="Arial"/>
          <w:bCs/>
          <w:szCs w:val="18"/>
        </w:rPr>
        <w:t>du Bâtiment</w:t>
      </w:r>
      <w:r w:rsidR="001946CC" w:rsidRPr="00790C64">
        <w:rPr>
          <w:rFonts w:cs="Arial"/>
          <w:bCs/>
          <w:szCs w:val="18"/>
        </w:rPr>
        <w:t> » de la dernière valeur de l’ind</w:t>
      </w:r>
      <w:r w:rsidR="00DE0435" w:rsidRPr="00790C64">
        <w:rPr>
          <w:rFonts w:cs="Arial"/>
          <w:bCs/>
          <w:szCs w:val="18"/>
        </w:rPr>
        <w:t>ice</w:t>
      </w:r>
      <w:r w:rsidR="001946CC" w:rsidRPr="00790C64">
        <w:rPr>
          <w:rFonts w:cs="Arial"/>
          <w:bCs/>
          <w:szCs w:val="18"/>
        </w:rPr>
        <w:t xml:space="preserve"> permettant de calculer la variation du prix,</w:t>
      </w:r>
    </w:p>
    <w:p w:rsidR="00BD338D" w:rsidRPr="00790C64" w:rsidRDefault="00203B3F" w:rsidP="008F2B6A">
      <w:pPr>
        <w:numPr>
          <w:ilvl w:val="0"/>
          <w:numId w:val="7"/>
        </w:numPr>
        <w:ind w:left="851"/>
        <w:rPr>
          <w:rFonts w:cs="Arial"/>
          <w:bCs/>
          <w:szCs w:val="18"/>
        </w:rPr>
      </w:pPr>
      <w:r>
        <w:rPr>
          <w:rFonts w:cs="Arial"/>
          <w:bCs/>
          <w:szCs w:val="18"/>
        </w:rPr>
        <w:t>L</w:t>
      </w:r>
      <w:r w:rsidR="001946CC" w:rsidRPr="00790C64">
        <w:rPr>
          <w:rFonts w:cs="Arial"/>
          <w:bCs/>
          <w:szCs w:val="18"/>
        </w:rPr>
        <w:t>a date du procès-verbal constatant que toutes les obligations découlant du marc</w:t>
      </w:r>
      <w:r w:rsidR="00BD338D" w:rsidRPr="00790C64">
        <w:rPr>
          <w:rFonts w:cs="Arial"/>
          <w:bCs/>
          <w:szCs w:val="18"/>
        </w:rPr>
        <w:t>hé de travaux ont été remplies.</w:t>
      </w:r>
    </w:p>
    <w:p w:rsidR="00EC5697" w:rsidRPr="00F0343E" w:rsidRDefault="00EC5697" w:rsidP="00F108DC">
      <w:pPr>
        <w:rPr>
          <w:rFonts w:cs="Arial"/>
          <w:bCs/>
          <w:sz w:val="10"/>
          <w:szCs w:val="10"/>
        </w:rPr>
      </w:pPr>
    </w:p>
    <w:p w:rsidR="001946CC" w:rsidRPr="00790C64" w:rsidRDefault="001946CC" w:rsidP="009F4700">
      <w:pPr>
        <w:rPr>
          <w:rFonts w:cs="Arial"/>
          <w:bCs/>
          <w:szCs w:val="18"/>
        </w:rPr>
      </w:pPr>
      <w:r w:rsidRPr="00790C64">
        <w:rPr>
          <w:rFonts w:cs="Arial"/>
          <w:bCs/>
          <w:szCs w:val="18"/>
        </w:rPr>
        <w:t xml:space="preserve">Le </w:t>
      </w:r>
      <w:r w:rsidR="00EC5697" w:rsidRPr="00790C64">
        <w:rPr>
          <w:rFonts w:cs="Arial"/>
          <w:bCs/>
          <w:szCs w:val="18"/>
        </w:rPr>
        <w:t>projet de D</w:t>
      </w:r>
      <w:r w:rsidRPr="00790C64">
        <w:rPr>
          <w:rFonts w:cs="Arial"/>
          <w:bCs/>
          <w:szCs w:val="18"/>
        </w:rPr>
        <w:t>écompte Général est, alors, établi par le maître d’ouvrage.</w:t>
      </w:r>
      <w:r w:rsidR="00505002">
        <w:rPr>
          <w:rFonts w:cs="Arial"/>
          <w:bCs/>
          <w:szCs w:val="18"/>
        </w:rPr>
        <w:t xml:space="preserve"> Il comprend</w:t>
      </w:r>
      <w:r w:rsidR="00F0343E">
        <w:rPr>
          <w:rFonts w:cs="Arial"/>
          <w:bCs/>
          <w:szCs w:val="18"/>
        </w:rPr>
        <w:t> :</w:t>
      </w:r>
    </w:p>
    <w:p w:rsidR="001946CC" w:rsidRPr="00790C64" w:rsidRDefault="00203B3F" w:rsidP="008F2B6A">
      <w:pPr>
        <w:numPr>
          <w:ilvl w:val="0"/>
          <w:numId w:val="8"/>
        </w:numPr>
        <w:ind w:left="851"/>
        <w:rPr>
          <w:rFonts w:cs="Arial"/>
          <w:bCs/>
          <w:szCs w:val="18"/>
        </w:rPr>
      </w:pPr>
      <w:r w:rsidRPr="00790C64">
        <w:rPr>
          <w:rFonts w:cs="Arial"/>
          <w:bCs/>
          <w:szCs w:val="18"/>
        </w:rPr>
        <w:t>Le</w:t>
      </w:r>
      <w:r w:rsidR="001946CC" w:rsidRPr="00790C64">
        <w:rPr>
          <w:rFonts w:cs="Arial"/>
          <w:bCs/>
          <w:szCs w:val="18"/>
        </w:rPr>
        <w:t xml:space="preserve"> décompte final ;</w:t>
      </w:r>
    </w:p>
    <w:p w:rsidR="001946CC" w:rsidRPr="00790C64" w:rsidRDefault="00203B3F" w:rsidP="008F2B6A">
      <w:pPr>
        <w:numPr>
          <w:ilvl w:val="0"/>
          <w:numId w:val="8"/>
        </w:numPr>
        <w:ind w:left="851"/>
        <w:rPr>
          <w:rFonts w:cs="Arial"/>
          <w:bCs/>
          <w:szCs w:val="18"/>
        </w:rPr>
      </w:pPr>
      <w:r w:rsidRPr="00790C64">
        <w:rPr>
          <w:rFonts w:cs="Arial"/>
          <w:bCs/>
          <w:szCs w:val="18"/>
        </w:rPr>
        <w:t>L’état</w:t>
      </w:r>
      <w:r w:rsidR="001946CC" w:rsidRPr="00790C64">
        <w:rPr>
          <w:rFonts w:cs="Arial"/>
          <w:bCs/>
          <w:szCs w:val="18"/>
        </w:rPr>
        <w:t xml:space="preserve"> du solde, établi à partir du décompte final et du dernier décompte </w:t>
      </w:r>
      <w:r w:rsidR="008536A7" w:rsidRPr="00790C64">
        <w:rPr>
          <w:rFonts w:cs="Arial"/>
          <w:bCs/>
          <w:szCs w:val="18"/>
        </w:rPr>
        <w:t>mensuel ;</w:t>
      </w:r>
    </w:p>
    <w:p w:rsidR="001946CC" w:rsidRPr="00790C64" w:rsidRDefault="00203B3F" w:rsidP="008F2B6A">
      <w:pPr>
        <w:numPr>
          <w:ilvl w:val="0"/>
          <w:numId w:val="8"/>
        </w:numPr>
        <w:ind w:left="851"/>
        <w:rPr>
          <w:rFonts w:cs="Arial"/>
          <w:bCs/>
          <w:szCs w:val="18"/>
        </w:rPr>
      </w:pPr>
      <w:r w:rsidRPr="00790C64">
        <w:rPr>
          <w:rFonts w:cs="Arial"/>
          <w:bCs/>
          <w:szCs w:val="18"/>
        </w:rPr>
        <w:t>La</w:t>
      </w:r>
      <w:r w:rsidR="001946CC" w:rsidRPr="00790C64">
        <w:rPr>
          <w:rFonts w:cs="Arial"/>
          <w:bCs/>
          <w:szCs w:val="18"/>
        </w:rPr>
        <w:t xml:space="preserve"> récapitulation des acomptes mensuels et du solde.</w:t>
      </w:r>
    </w:p>
    <w:p w:rsidR="001946CC" w:rsidRPr="00790C64" w:rsidRDefault="001946CC" w:rsidP="009F4700">
      <w:pPr>
        <w:rPr>
          <w:rFonts w:cs="Arial"/>
          <w:bCs/>
          <w:szCs w:val="18"/>
        </w:rPr>
      </w:pPr>
      <w:r w:rsidRPr="00790C64">
        <w:rPr>
          <w:rFonts w:cs="Arial"/>
          <w:bCs/>
          <w:szCs w:val="18"/>
        </w:rPr>
        <w:t>Le montant du projet de décompte général est égal au résultat de cette dernière récapitulation.</w:t>
      </w:r>
    </w:p>
    <w:p w:rsidR="00BC155D" w:rsidRPr="00203B3F" w:rsidRDefault="00BC155D" w:rsidP="00203B3F">
      <w:pPr>
        <w:ind w:left="284"/>
        <w:rPr>
          <w:rFonts w:cs="Arial"/>
          <w:bCs/>
          <w:sz w:val="16"/>
          <w:szCs w:val="16"/>
        </w:rPr>
      </w:pPr>
    </w:p>
    <w:p w:rsidR="00BC155D" w:rsidRPr="00790C64" w:rsidRDefault="00BC155D" w:rsidP="009F4700">
      <w:pPr>
        <w:rPr>
          <w:rFonts w:cs="Arial"/>
          <w:bCs/>
          <w:szCs w:val="18"/>
        </w:rPr>
      </w:pPr>
      <w:r w:rsidRPr="00790C64">
        <w:rPr>
          <w:rFonts w:cs="Arial"/>
          <w:bCs/>
          <w:szCs w:val="18"/>
        </w:rPr>
        <w:t xml:space="preserve">Le projet de décompte général est signé par le représentant </w:t>
      </w:r>
      <w:r w:rsidR="00EA417D">
        <w:rPr>
          <w:rFonts w:cs="Arial"/>
          <w:bCs/>
          <w:szCs w:val="18"/>
        </w:rPr>
        <w:t>de l’acheteur</w:t>
      </w:r>
      <w:r w:rsidR="00EC5697" w:rsidRPr="00790C64">
        <w:rPr>
          <w:rFonts w:cs="Arial"/>
          <w:bCs/>
          <w:szCs w:val="18"/>
        </w:rPr>
        <w:t xml:space="preserve"> et devient alors le D</w:t>
      </w:r>
      <w:r w:rsidRPr="00790C64">
        <w:rPr>
          <w:rFonts w:cs="Arial"/>
          <w:bCs/>
          <w:szCs w:val="18"/>
        </w:rPr>
        <w:t>é</w:t>
      </w:r>
      <w:r w:rsidR="00EC5697" w:rsidRPr="00790C64">
        <w:rPr>
          <w:rFonts w:cs="Arial"/>
          <w:bCs/>
          <w:szCs w:val="18"/>
        </w:rPr>
        <w:t>compte G</w:t>
      </w:r>
      <w:r w:rsidRPr="00790C64">
        <w:rPr>
          <w:rFonts w:cs="Arial"/>
          <w:bCs/>
          <w:szCs w:val="18"/>
        </w:rPr>
        <w:t>énéral.</w:t>
      </w:r>
    </w:p>
    <w:p w:rsidR="00BC155D" w:rsidRPr="00F0343E" w:rsidRDefault="00BC155D" w:rsidP="00203B3F">
      <w:pPr>
        <w:ind w:left="284"/>
        <w:rPr>
          <w:sz w:val="10"/>
          <w:szCs w:val="10"/>
        </w:rPr>
      </w:pPr>
    </w:p>
    <w:p w:rsidR="00BC155D" w:rsidRPr="00790C64" w:rsidRDefault="00BC155D" w:rsidP="009F4700">
      <w:pPr>
        <w:rPr>
          <w:rFonts w:cs="Arial"/>
          <w:bCs/>
          <w:szCs w:val="18"/>
        </w:rPr>
      </w:pPr>
      <w:r w:rsidRPr="00790C64">
        <w:rPr>
          <w:rFonts w:cs="Arial"/>
          <w:bCs/>
          <w:szCs w:val="18"/>
        </w:rPr>
        <w:t xml:space="preserve">Le représentant </w:t>
      </w:r>
      <w:r w:rsidR="00EA417D">
        <w:rPr>
          <w:rFonts w:cs="Arial"/>
          <w:bCs/>
          <w:szCs w:val="18"/>
        </w:rPr>
        <w:t>de l’acheteur</w:t>
      </w:r>
      <w:r w:rsidRPr="00790C64">
        <w:rPr>
          <w:rFonts w:cs="Arial"/>
          <w:bCs/>
          <w:szCs w:val="18"/>
        </w:rPr>
        <w:t xml:space="preserve"> notifie au titulaire le décompte général avant la plus ta</w:t>
      </w:r>
      <w:r w:rsidR="00203B3F">
        <w:rPr>
          <w:rFonts w:cs="Arial"/>
          <w:bCs/>
          <w:szCs w:val="18"/>
        </w:rPr>
        <w:t>rdive des deux dates ci-après :</w:t>
      </w:r>
    </w:p>
    <w:p w:rsidR="00BC155D" w:rsidRPr="00203B3F" w:rsidRDefault="00203B3F" w:rsidP="008F2B6A">
      <w:pPr>
        <w:numPr>
          <w:ilvl w:val="0"/>
          <w:numId w:val="9"/>
        </w:numPr>
        <w:ind w:left="851"/>
        <w:rPr>
          <w:rFonts w:cs="Arial"/>
          <w:bCs/>
          <w:szCs w:val="18"/>
        </w:rPr>
      </w:pPr>
      <w:r>
        <w:rPr>
          <w:rFonts w:cs="Arial"/>
          <w:bCs/>
          <w:szCs w:val="18"/>
        </w:rPr>
        <w:t>Q</w:t>
      </w:r>
      <w:r w:rsidR="00BC155D" w:rsidRPr="00790C64">
        <w:rPr>
          <w:rFonts w:cs="Arial"/>
          <w:bCs/>
          <w:szCs w:val="18"/>
        </w:rPr>
        <w:t>uarante jours après la date de remise au maître d’ouvrage du projet de d</w:t>
      </w:r>
      <w:r>
        <w:rPr>
          <w:rFonts w:cs="Arial"/>
          <w:bCs/>
          <w:szCs w:val="18"/>
        </w:rPr>
        <w:t>écompte final par le titulaire.</w:t>
      </w:r>
    </w:p>
    <w:p w:rsidR="00BC155D" w:rsidRPr="00790C64" w:rsidRDefault="00203B3F" w:rsidP="008F2B6A">
      <w:pPr>
        <w:numPr>
          <w:ilvl w:val="0"/>
          <w:numId w:val="9"/>
        </w:numPr>
        <w:ind w:left="851"/>
        <w:rPr>
          <w:rFonts w:cs="Arial"/>
          <w:bCs/>
          <w:szCs w:val="18"/>
        </w:rPr>
      </w:pPr>
      <w:r>
        <w:rPr>
          <w:rFonts w:cs="Arial"/>
          <w:bCs/>
          <w:szCs w:val="18"/>
        </w:rPr>
        <w:t>D</w:t>
      </w:r>
      <w:r w:rsidR="00BC155D" w:rsidRPr="00790C64">
        <w:rPr>
          <w:rFonts w:cs="Arial"/>
          <w:bCs/>
          <w:szCs w:val="18"/>
        </w:rPr>
        <w:t>ouze jours après la publication de l’index de référence permettant la révision du solde.</w:t>
      </w:r>
    </w:p>
    <w:p w:rsidR="00BC155D" w:rsidRPr="00203B3F" w:rsidRDefault="00BC155D" w:rsidP="00203B3F">
      <w:pPr>
        <w:ind w:left="284"/>
        <w:rPr>
          <w:sz w:val="16"/>
          <w:szCs w:val="16"/>
        </w:rPr>
      </w:pPr>
    </w:p>
    <w:p w:rsidR="00BC155D" w:rsidRPr="00790C64" w:rsidRDefault="00BC155D" w:rsidP="009F4700">
      <w:pPr>
        <w:rPr>
          <w:rFonts w:cs="Arial"/>
          <w:bCs/>
          <w:szCs w:val="18"/>
        </w:rPr>
      </w:pPr>
      <w:r w:rsidRPr="00790C64">
        <w:rPr>
          <w:rFonts w:cs="Arial"/>
          <w:bCs/>
          <w:szCs w:val="18"/>
        </w:rPr>
        <w:t xml:space="preserve">Si le représentant </w:t>
      </w:r>
      <w:r w:rsidR="00EA417D">
        <w:rPr>
          <w:rFonts w:cs="Arial"/>
          <w:bCs/>
          <w:szCs w:val="18"/>
        </w:rPr>
        <w:t>de l’acheteur</w:t>
      </w:r>
      <w:r w:rsidRPr="00790C64">
        <w:rPr>
          <w:rFonts w:cs="Arial"/>
          <w:bCs/>
          <w:szCs w:val="18"/>
        </w:rPr>
        <w:t xml:space="preserve"> ne notifie pas au titulaire, dans les délais stipulés ci-dessus, le décompte général signé, celui-ci lui adresse une mise en demeure d’y procéder. L’absence de notification au titulaire du décompte général signé par le représentant </w:t>
      </w:r>
      <w:r w:rsidR="00EA417D">
        <w:rPr>
          <w:rFonts w:cs="Arial"/>
          <w:bCs/>
          <w:szCs w:val="18"/>
        </w:rPr>
        <w:t>de l’acheteur</w:t>
      </w:r>
      <w:r w:rsidRPr="00790C64">
        <w:rPr>
          <w:rFonts w:cs="Arial"/>
          <w:bCs/>
          <w:szCs w:val="18"/>
        </w:rPr>
        <w:t>, dans un délai de trente jours à compter de la réception de la mise en demeure, autorise le titulaire à saisir le tribunal administratif compétent en cas de désaccord.</w:t>
      </w:r>
    </w:p>
    <w:p w:rsidR="00BC155D" w:rsidRPr="00F0343E" w:rsidRDefault="00BC155D" w:rsidP="00203B3F">
      <w:pPr>
        <w:ind w:left="284"/>
        <w:rPr>
          <w:rFonts w:cs="Arial"/>
          <w:bCs/>
          <w:sz w:val="10"/>
          <w:szCs w:val="10"/>
        </w:rPr>
      </w:pPr>
    </w:p>
    <w:p w:rsidR="00BC155D" w:rsidRPr="00790C64" w:rsidRDefault="00BC155D" w:rsidP="009F4700">
      <w:pPr>
        <w:rPr>
          <w:rFonts w:cs="Arial"/>
          <w:bCs/>
          <w:szCs w:val="18"/>
        </w:rPr>
      </w:pPr>
      <w:r w:rsidRPr="00790C64">
        <w:rPr>
          <w:rFonts w:cs="Arial"/>
          <w:bCs/>
          <w:szCs w:val="18"/>
        </w:rPr>
        <w:t>A compter de la date d’acceptation du décompte général par le titulaire</w:t>
      </w:r>
      <w:r w:rsidR="00EC5697" w:rsidRPr="00790C64">
        <w:rPr>
          <w:rFonts w:cs="Arial"/>
          <w:bCs/>
          <w:szCs w:val="18"/>
        </w:rPr>
        <w:t>,</w:t>
      </w:r>
      <w:r w:rsidRPr="00790C64">
        <w:rPr>
          <w:rFonts w:cs="Arial"/>
          <w:bCs/>
          <w:szCs w:val="18"/>
        </w:rPr>
        <w:t xml:space="preserve"> ce document devient le décompte général et définitif, et ouvre droit à paiement du solde.</w:t>
      </w:r>
    </w:p>
    <w:p w:rsidR="00BC155D" w:rsidRPr="00F0343E" w:rsidRDefault="00BC155D" w:rsidP="00203B3F">
      <w:pPr>
        <w:ind w:left="284"/>
        <w:rPr>
          <w:sz w:val="10"/>
          <w:szCs w:val="10"/>
        </w:rPr>
      </w:pPr>
    </w:p>
    <w:p w:rsidR="00BC155D" w:rsidRPr="00790C64" w:rsidRDefault="00BC155D" w:rsidP="009F4700">
      <w:pPr>
        <w:rPr>
          <w:rFonts w:cs="Arial"/>
          <w:bCs/>
          <w:szCs w:val="18"/>
        </w:rPr>
      </w:pPr>
      <w:r w:rsidRPr="00790C64">
        <w:rPr>
          <w:rFonts w:cs="Arial"/>
          <w:bCs/>
          <w:szCs w:val="18"/>
        </w:rPr>
        <w:t>Dans un délai de quarante-cinq jours compté</w:t>
      </w:r>
      <w:r w:rsidR="00661B72">
        <w:rPr>
          <w:rFonts w:cs="Arial"/>
          <w:bCs/>
          <w:szCs w:val="18"/>
        </w:rPr>
        <w:t>s</w:t>
      </w:r>
      <w:r w:rsidRPr="00790C64">
        <w:rPr>
          <w:rFonts w:cs="Arial"/>
          <w:bCs/>
          <w:szCs w:val="18"/>
        </w:rPr>
        <w:t xml:space="preserve"> à partir de la notification du décompte général, le titulaire renvoie au représentant </w:t>
      </w:r>
      <w:r w:rsidR="00EA417D">
        <w:rPr>
          <w:rFonts w:cs="Arial"/>
          <w:bCs/>
          <w:szCs w:val="18"/>
        </w:rPr>
        <w:t>de l’acheteur</w:t>
      </w:r>
      <w:r w:rsidR="00EC5697" w:rsidRPr="00790C64">
        <w:rPr>
          <w:rFonts w:cs="Arial"/>
          <w:bCs/>
          <w:szCs w:val="18"/>
        </w:rPr>
        <w:t xml:space="preserve"> </w:t>
      </w:r>
      <w:r w:rsidRPr="00790C64">
        <w:rPr>
          <w:rFonts w:cs="Arial"/>
          <w:bCs/>
          <w:szCs w:val="18"/>
        </w:rPr>
        <w:t>le décompte général revêtu de sa signature, sans ou avec réserves, ou fait connaître les motifs pour lesquels il refuse de le signer.</w:t>
      </w:r>
    </w:p>
    <w:p w:rsidR="00BC155D" w:rsidRPr="00203B3F" w:rsidRDefault="00BC155D" w:rsidP="00203B3F">
      <w:pPr>
        <w:ind w:left="284"/>
        <w:rPr>
          <w:sz w:val="16"/>
          <w:szCs w:val="16"/>
        </w:rPr>
      </w:pPr>
    </w:p>
    <w:p w:rsidR="00BC155D" w:rsidRPr="00790C64" w:rsidRDefault="00BC155D" w:rsidP="009F4700">
      <w:pPr>
        <w:rPr>
          <w:rFonts w:cs="Arial"/>
          <w:bCs/>
          <w:szCs w:val="18"/>
        </w:rPr>
      </w:pPr>
      <w:r w:rsidRPr="00790C64">
        <w:rPr>
          <w:rFonts w:cs="Arial"/>
          <w:bCs/>
          <w:szCs w:val="18"/>
        </w:rPr>
        <w:t>Si la signature du décompte général est donnée sans réserve par le titulaire, il devient le décompte général et définitif du marché.</w:t>
      </w:r>
    </w:p>
    <w:p w:rsidR="00BC155D" w:rsidRPr="00F0343E" w:rsidRDefault="00BC155D" w:rsidP="00203B3F">
      <w:pPr>
        <w:ind w:left="284"/>
        <w:rPr>
          <w:rFonts w:cs="Arial"/>
          <w:bCs/>
          <w:sz w:val="10"/>
          <w:szCs w:val="10"/>
        </w:rPr>
      </w:pPr>
    </w:p>
    <w:p w:rsidR="005A7971" w:rsidRDefault="00BC155D" w:rsidP="009F4700">
      <w:pPr>
        <w:rPr>
          <w:rFonts w:cs="Arial"/>
          <w:bCs/>
          <w:szCs w:val="18"/>
        </w:rPr>
      </w:pPr>
      <w:r w:rsidRPr="00790C64">
        <w:rPr>
          <w:rFonts w:cs="Arial"/>
          <w:bCs/>
          <w:szCs w:val="18"/>
        </w:rPr>
        <w:t>Ce décompte lie définitivement les parties, sauf en ce qui concerne le montant des intérêts moratoires afférents au solde.</w:t>
      </w:r>
    </w:p>
    <w:p w:rsidR="009F4700" w:rsidRDefault="009F4700" w:rsidP="009F4700">
      <w:pPr>
        <w:rPr>
          <w:rFonts w:cs="Arial"/>
          <w:bCs/>
          <w:szCs w:val="18"/>
        </w:rPr>
      </w:pPr>
    </w:p>
    <w:p w:rsidR="005A7971" w:rsidRPr="00790C64" w:rsidRDefault="005A7971" w:rsidP="009F4700">
      <w:pPr>
        <w:pStyle w:val="TITRE100"/>
      </w:pPr>
    </w:p>
    <w:p w:rsidR="00F108DC" w:rsidRDefault="0082340C" w:rsidP="009F4700">
      <w:pPr>
        <w:pStyle w:val="TITRE100"/>
        <w:rPr>
          <w:color w:val="000000"/>
        </w:rPr>
      </w:pPr>
      <w:bookmarkStart w:id="250" w:name="_Toc374413888"/>
      <w:bookmarkStart w:id="251" w:name="_Toc465261449"/>
      <w:bookmarkStart w:id="252" w:name="_Toc133586802"/>
      <w:bookmarkStart w:id="253" w:name="_Toc148692627"/>
      <w:r w:rsidRPr="00790C64">
        <w:rPr>
          <w:color w:val="000000"/>
        </w:rPr>
        <w:t xml:space="preserve">ARTICLE </w:t>
      </w:r>
      <w:r w:rsidR="007F2DE4">
        <w:rPr>
          <w:color w:val="000000"/>
        </w:rPr>
        <w:t>11</w:t>
      </w:r>
      <w:r w:rsidRPr="00790C64">
        <w:rPr>
          <w:color w:val="000000"/>
        </w:rPr>
        <w:t xml:space="preserve"> </w:t>
      </w:r>
      <w:r w:rsidR="007F2DE4">
        <w:rPr>
          <w:color w:val="000000"/>
        </w:rPr>
        <w:t>–</w:t>
      </w:r>
      <w:r w:rsidR="008F24D2" w:rsidRPr="00790C64">
        <w:rPr>
          <w:color w:val="000000"/>
        </w:rPr>
        <w:t xml:space="preserve"> </w:t>
      </w:r>
      <w:bookmarkEnd w:id="250"/>
      <w:r w:rsidR="008F24D2" w:rsidRPr="00790C64">
        <w:rPr>
          <w:color w:val="000000"/>
        </w:rPr>
        <w:t>PENALITES</w:t>
      </w:r>
      <w:bookmarkEnd w:id="251"/>
      <w:bookmarkEnd w:id="252"/>
      <w:bookmarkEnd w:id="253"/>
      <w:r w:rsidR="007F2DE4">
        <w:rPr>
          <w:color w:val="000000"/>
        </w:rPr>
        <w:t xml:space="preserve"> </w:t>
      </w:r>
    </w:p>
    <w:p w:rsidR="007F2DE4" w:rsidRDefault="007F2DE4" w:rsidP="007F2DE4">
      <w:pPr>
        <w:rPr>
          <w:rFonts w:cs="Arial"/>
          <w:szCs w:val="18"/>
        </w:rPr>
      </w:pPr>
    </w:p>
    <w:p w:rsidR="007F2DE4" w:rsidRPr="008A434C" w:rsidRDefault="007F2DE4" w:rsidP="007F2DE4">
      <w:pPr>
        <w:rPr>
          <w:rFonts w:cs="Arial"/>
          <w:szCs w:val="18"/>
        </w:rPr>
      </w:pPr>
      <w:r w:rsidRPr="008A434C">
        <w:rPr>
          <w:rFonts w:cs="Arial"/>
          <w:szCs w:val="18"/>
        </w:rPr>
        <w:t xml:space="preserve">Le titulaire est dégagé de toute responsabilité si les </w:t>
      </w:r>
      <w:r w:rsidRPr="008A434C">
        <w:rPr>
          <w:rFonts w:cs="Arial"/>
          <w:b/>
          <w:szCs w:val="18"/>
        </w:rPr>
        <w:t>retards/manquement</w:t>
      </w:r>
      <w:r w:rsidRPr="008A434C">
        <w:rPr>
          <w:rFonts w:cs="Arial"/>
          <w:szCs w:val="18"/>
        </w:rPr>
        <w:t xml:space="preserve"> sont la conséquence de faits relevant de la force majeure ou de cas fortuits, dans les termes de l'article 1218 du Code civil, et de faits qui engagent la responsabilité de l’administration. </w:t>
      </w:r>
    </w:p>
    <w:p w:rsidR="007F2DE4" w:rsidRPr="006D4E4D" w:rsidRDefault="007F2DE4" w:rsidP="007F2DE4">
      <w:pPr>
        <w:rPr>
          <w:rFonts w:cs="Arial"/>
          <w:sz w:val="10"/>
          <w:szCs w:val="10"/>
        </w:rPr>
      </w:pPr>
    </w:p>
    <w:p w:rsidR="007F2DE4" w:rsidRPr="008A434C" w:rsidRDefault="007F2DE4" w:rsidP="007F2DE4">
      <w:pPr>
        <w:rPr>
          <w:rFonts w:cs="Arial"/>
          <w:szCs w:val="18"/>
        </w:rPr>
      </w:pPr>
      <w:r w:rsidRPr="008A434C">
        <w:rPr>
          <w:rFonts w:cs="Arial"/>
          <w:szCs w:val="18"/>
        </w:rPr>
        <w:t>Les stipulations qui suivent dérogent d’une manière générale aux stipulations de l’article 16 du CCAG-MOE.</w:t>
      </w:r>
    </w:p>
    <w:p w:rsidR="007F2DE4" w:rsidRPr="006D4E4D" w:rsidRDefault="007F2DE4" w:rsidP="007F2DE4">
      <w:pPr>
        <w:rPr>
          <w:rFonts w:cs="Arial"/>
          <w:sz w:val="10"/>
          <w:szCs w:val="10"/>
        </w:rPr>
      </w:pPr>
    </w:p>
    <w:p w:rsidR="00615B6C" w:rsidRPr="006D4E4D" w:rsidRDefault="007F2DE4" w:rsidP="006D4E4D">
      <w:pPr>
        <w:rPr>
          <w:rFonts w:cs="Arial"/>
          <w:szCs w:val="18"/>
        </w:rPr>
      </w:pPr>
      <w:r w:rsidRPr="008A434C">
        <w:rPr>
          <w:rFonts w:cs="Arial"/>
          <w:szCs w:val="18"/>
        </w:rPr>
        <w:t>En cas de difficultés dans l’exécution des prestations des marchés subséquents, le titulaire en avertit le service concerné d’AMU dans les plus brefs délais par un écrit motivé explicitant la nature de ces difficultés.</w:t>
      </w:r>
    </w:p>
    <w:p w:rsidR="00AC6232" w:rsidRPr="00790C64" w:rsidRDefault="007F2DE4" w:rsidP="007F2DE4">
      <w:pPr>
        <w:pStyle w:val="Titre2"/>
        <w:rPr>
          <w:color w:val="FF0000"/>
          <w:szCs w:val="18"/>
        </w:rPr>
      </w:pPr>
      <w:bookmarkStart w:id="254" w:name="_Toc465261451"/>
      <w:bookmarkStart w:id="255" w:name="_Toc133586062"/>
      <w:bookmarkStart w:id="256" w:name="_Toc133586558"/>
      <w:bookmarkStart w:id="257" w:name="_Toc133586637"/>
      <w:bookmarkStart w:id="258" w:name="_Toc133586804"/>
      <w:bookmarkStart w:id="259" w:name="_Toc148692628"/>
      <w:r>
        <w:t>11.1</w:t>
      </w:r>
      <w:r w:rsidR="008F24D2" w:rsidRPr="009F4700">
        <w:t xml:space="preserve"> </w:t>
      </w:r>
      <w:bookmarkStart w:id="260" w:name="_Toc133586063"/>
      <w:bookmarkStart w:id="261" w:name="_Toc133586559"/>
      <w:bookmarkStart w:id="262" w:name="_Toc133586638"/>
      <w:bookmarkStart w:id="263" w:name="_Toc133586805"/>
      <w:bookmarkEnd w:id="254"/>
      <w:bookmarkEnd w:id="255"/>
      <w:bookmarkEnd w:id="256"/>
      <w:bookmarkEnd w:id="257"/>
      <w:bookmarkEnd w:id="258"/>
      <w:r w:rsidR="00615B6C">
        <w:rPr>
          <w:szCs w:val="18"/>
        </w:rPr>
        <w:t>Pénalités de retard</w:t>
      </w:r>
      <w:bookmarkEnd w:id="260"/>
      <w:bookmarkEnd w:id="261"/>
      <w:bookmarkEnd w:id="262"/>
      <w:bookmarkEnd w:id="263"/>
      <w:bookmarkEnd w:id="259"/>
    </w:p>
    <w:p w:rsidR="002445FD" w:rsidRPr="006D4E4D" w:rsidRDefault="002445FD" w:rsidP="00F108DC">
      <w:pPr>
        <w:rPr>
          <w:rFonts w:cs="Arial"/>
          <w:b/>
          <w:sz w:val="10"/>
          <w:szCs w:val="10"/>
        </w:rPr>
      </w:pPr>
    </w:p>
    <w:p w:rsidR="00B96982" w:rsidRDefault="00E26E1D" w:rsidP="00E26E1D">
      <w:pPr>
        <w:rPr>
          <w:rFonts w:cs="Arial"/>
          <w:szCs w:val="18"/>
        </w:rPr>
      </w:pPr>
      <w:r w:rsidRPr="00034933">
        <w:rPr>
          <w:rFonts w:cs="Arial"/>
          <w:szCs w:val="18"/>
        </w:rPr>
        <w:t>Par dérogation à l’article 1</w:t>
      </w:r>
      <w:r w:rsidR="00786E41">
        <w:rPr>
          <w:rFonts w:cs="Arial"/>
          <w:szCs w:val="18"/>
        </w:rPr>
        <w:t>6</w:t>
      </w:r>
      <w:r w:rsidRPr="00034933">
        <w:rPr>
          <w:rFonts w:cs="Arial"/>
          <w:szCs w:val="18"/>
        </w:rPr>
        <w:t xml:space="preserve"> du CCAG</w:t>
      </w:r>
      <w:r w:rsidR="00786E41">
        <w:rPr>
          <w:rFonts w:cs="Arial"/>
          <w:szCs w:val="18"/>
        </w:rPr>
        <w:t xml:space="preserve"> MOE</w:t>
      </w:r>
      <w:r w:rsidRPr="00034933">
        <w:rPr>
          <w:rFonts w:cs="Arial"/>
          <w:szCs w:val="18"/>
        </w:rPr>
        <w:t>, en cas de retard par rapport aux délais fixés dans les documents contractuels, une pénalité peut être appliquée selon les modalités indiqué ci-après.</w:t>
      </w:r>
    </w:p>
    <w:p w:rsidR="00B96982" w:rsidRPr="00F0343E" w:rsidRDefault="00B96982" w:rsidP="00E26E1D">
      <w:pPr>
        <w:rPr>
          <w:rFonts w:cs="Arial"/>
          <w:sz w:val="10"/>
          <w:szCs w:val="10"/>
        </w:rPr>
      </w:pPr>
    </w:p>
    <w:p w:rsidR="00B96982" w:rsidRDefault="00B96982" w:rsidP="00B96982">
      <w:r>
        <w:t>Par dérogation aux articles 16.2.1 et 16.2.2 du CCAG MOE, les pénalités ne sont pas plafonnées et ne sont pas exonérées.</w:t>
      </w:r>
    </w:p>
    <w:p w:rsidR="00B96982" w:rsidRPr="006D4E4D" w:rsidRDefault="00B96982" w:rsidP="00B96982">
      <w:pPr>
        <w:rPr>
          <w:sz w:val="10"/>
          <w:szCs w:val="10"/>
        </w:rPr>
      </w:pPr>
    </w:p>
    <w:p w:rsidR="00B96982" w:rsidRPr="007F2DE4" w:rsidRDefault="007F2DE4" w:rsidP="00E26E1D">
      <w:pPr>
        <w:rPr>
          <w:rFonts w:cs="Arial"/>
          <w:b/>
          <w:szCs w:val="18"/>
        </w:rPr>
      </w:pPr>
      <w:r w:rsidRPr="004506D2">
        <w:rPr>
          <w:rFonts w:cs="Arial"/>
          <w:szCs w:val="18"/>
        </w:rPr>
        <w:t>Par dérogation à l’article 16.2.4 du CCAG</w:t>
      </w:r>
      <w:r>
        <w:rPr>
          <w:rFonts w:cs="Arial"/>
          <w:szCs w:val="18"/>
        </w:rPr>
        <w:t>-MOE,</w:t>
      </w:r>
      <w:r w:rsidRPr="004506D2">
        <w:rPr>
          <w:rFonts w:cs="Arial"/>
          <w:szCs w:val="18"/>
        </w:rPr>
        <w:t xml:space="preserve"> </w:t>
      </w:r>
      <w:r>
        <w:rPr>
          <w:rFonts w:cs="Arial"/>
          <w:szCs w:val="18"/>
        </w:rPr>
        <w:t>l</w:t>
      </w:r>
      <w:r w:rsidRPr="004506D2">
        <w:rPr>
          <w:rFonts w:cs="Arial"/>
          <w:szCs w:val="18"/>
        </w:rPr>
        <w:t xml:space="preserve">es pénalités sont appliquées </w:t>
      </w:r>
      <w:r w:rsidRPr="004506D2">
        <w:rPr>
          <w:rFonts w:cs="Arial"/>
          <w:b/>
          <w:szCs w:val="18"/>
        </w:rPr>
        <w:t>sans mise en demeure</w:t>
      </w:r>
      <w:r w:rsidRPr="004506D2">
        <w:rPr>
          <w:rFonts w:cs="Arial"/>
          <w:szCs w:val="18"/>
        </w:rPr>
        <w:t xml:space="preserve">, </w:t>
      </w:r>
      <w:r w:rsidRPr="004506D2">
        <w:rPr>
          <w:rFonts w:cs="Arial"/>
          <w:b/>
          <w:szCs w:val="18"/>
        </w:rPr>
        <w:t>sur simple constat</w:t>
      </w:r>
      <w:r w:rsidRPr="004506D2">
        <w:rPr>
          <w:rFonts w:cs="Arial"/>
          <w:szCs w:val="18"/>
        </w:rPr>
        <w:t xml:space="preserve"> </w:t>
      </w:r>
      <w:r w:rsidRPr="004506D2">
        <w:rPr>
          <w:rFonts w:cs="Arial"/>
          <w:b/>
          <w:szCs w:val="18"/>
        </w:rPr>
        <w:t xml:space="preserve">du retard. </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55"/>
        <w:gridCol w:w="5203"/>
      </w:tblGrid>
      <w:tr w:rsidR="00CB401B" w:rsidRPr="00615B6C" w:rsidTr="006D4E4D">
        <w:trPr>
          <w:cantSplit/>
          <w:trHeight w:val="556"/>
          <w:tblHeader/>
          <w:jc w:val="center"/>
        </w:trPr>
        <w:tc>
          <w:tcPr>
            <w:tcW w:w="4355" w:type="dxa"/>
            <w:shd w:val="clear" w:color="auto" w:fill="F2F2F2"/>
            <w:vAlign w:val="center"/>
          </w:tcPr>
          <w:p w:rsidR="00CB401B" w:rsidRPr="00615B6C" w:rsidRDefault="00CB401B" w:rsidP="00C7133E">
            <w:pPr>
              <w:keepNext/>
              <w:jc w:val="center"/>
              <w:rPr>
                <w:rFonts w:cs="Arial"/>
                <w:sz w:val="16"/>
                <w:szCs w:val="16"/>
              </w:rPr>
            </w:pPr>
            <w:r w:rsidRPr="00615B6C">
              <w:rPr>
                <w:rFonts w:cs="Arial"/>
                <w:b/>
                <w:sz w:val="16"/>
                <w:szCs w:val="16"/>
              </w:rPr>
              <w:lastRenderedPageBreak/>
              <w:t>Retards dans</w:t>
            </w:r>
          </w:p>
        </w:tc>
        <w:tc>
          <w:tcPr>
            <w:tcW w:w="5203" w:type="dxa"/>
            <w:shd w:val="clear" w:color="auto" w:fill="F2F2F2"/>
            <w:vAlign w:val="center"/>
          </w:tcPr>
          <w:p w:rsidR="00CB401B" w:rsidRPr="00615B6C" w:rsidRDefault="00CB401B" w:rsidP="00C7133E">
            <w:pPr>
              <w:keepNext/>
              <w:jc w:val="center"/>
              <w:rPr>
                <w:rFonts w:cs="Arial"/>
                <w:b/>
                <w:sz w:val="16"/>
                <w:szCs w:val="16"/>
              </w:rPr>
            </w:pPr>
            <w:r w:rsidRPr="00615B6C">
              <w:rPr>
                <w:rFonts w:cs="Arial"/>
                <w:b/>
                <w:sz w:val="16"/>
                <w:szCs w:val="16"/>
              </w:rPr>
              <w:t>Montants pénalités (par jour calendaire)</w:t>
            </w:r>
            <w:r>
              <w:rPr>
                <w:rFonts w:cs="Arial"/>
                <w:b/>
                <w:sz w:val="16"/>
                <w:szCs w:val="16"/>
              </w:rPr>
              <w:t xml:space="preserve"> </w:t>
            </w:r>
          </w:p>
        </w:tc>
      </w:tr>
      <w:tr w:rsidR="00CB401B" w:rsidTr="00C75820">
        <w:trPr>
          <w:cantSplit/>
          <w:trHeight w:val="409"/>
          <w:jc w:val="center"/>
        </w:trPr>
        <w:tc>
          <w:tcPr>
            <w:tcW w:w="4355" w:type="dxa"/>
            <w:vAlign w:val="center"/>
          </w:tcPr>
          <w:p w:rsidR="00CB401B" w:rsidRPr="00615B6C" w:rsidRDefault="00CB401B" w:rsidP="00C7133E">
            <w:pPr>
              <w:keepNext/>
              <w:rPr>
                <w:rFonts w:cs="Arial"/>
                <w:sz w:val="16"/>
                <w:szCs w:val="16"/>
              </w:rPr>
            </w:pPr>
            <w:r>
              <w:rPr>
                <w:rFonts w:cs="Arial"/>
                <w:sz w:val="16"/>
                <w:szCs w:val="16"/>
              </w:rPr>
              <w:t xml:space="preserve">Fourniture dossier DIAG </w:t>
            </w:r>
          </w:p>
        </w:tc>
        <w:tc>
          <w:tcPr>
            <w:tcW w:w="5203" w:type="dxa"/>
            <w:vAlign w:val="center"/>
          </w:tcPr>
          <w:p w:rsidR="00CB401B" w:rsidRDefault="009A0790" w:rsidP="00C7133E">
            <w:pPr>
              <w:keepNext/>
              <w:jc w:val="center"/>
              <w:rPr>
                <w:rFonts w:cs="Arial"/>
                <w:sz w:val="16"/>
                <w:szCs w:val="16"/>
              </w:rPr>
            </w:pPr>
            <w:r>
              <w:rPr>
                <w:rFonts w:cs="Arial"/>
                <w:sz w:val="16"/>
                <w:szCs w:val="16"/>
              </w:rPr>
              <w:t>100</w:t>
            </w:r>
            <w:r w:rsidR="00CB401B">
              <w:rPr>
                <w:rFonts w:cs="Arial"/>
                <w:sz w:val="16"/>
                <w:szCs w:val="16"/>
              </w:rPr>
              <w:t xml:space="preserve"> Euros</w:t>
            </w:r>
          </w:p>
        </w:tc>
      </w:tr>
      <w:tr w:rsidR="00CB401B" w:rsidRPr="00615B6C" w:rsidTr="00C75820">
        <w:trPr>
          <w:cantSplit/>
          <w:trHeight w:val="414"/>
          <w:jc w:val="center"/>
        </w:trPr>
        <w:tc>
          <w:tcPr>
            <w:tcW w:w="4355" w:type="dxa"/>
            <w:vAlign w:val="center"/>
          </w:tcPr>
          <w:p w:rsidR="00CB401B" w:rsidRPr="00615B6C" w:rsidRDefault="00CB401B" w:rsidP="00C7133E">
            <w:pPr>
              <w:keepNext/>
              <w:rPr>
                <w:rFonts w:cs="Arial"/>
                <w:sz w:val="16"/>
                <w:szCs w:val="16"/>
              </w:rPr>
            </w:pPr>
            <w:r w:rsidRPr="00615B6C">
              <w:rPr>
                <w:rFonts w:cs="Arial"/>
                <w:sz w:val="16"/>
                <w:szCs w:val="16"/>
              </w:rPr>
              <w:t xml:space="preserve">Fourniture dossier </w:t>
            </w:r>
            <w:r w:rsidR="00894298">
              <w:rPr>
                <w:rFonts w:cs="Arial"/>
                <w:sz w:val="16"/>
                <w:szCs w:val="16"/>
              </w:rPr>
              <w:t>APD</w:t>
            </w:r>
          </w:p>
        </w:tc>
        <w:tc>
          <w:tcPr>
            <w:tcW w:w="5203" w:type="dxa"/>
            <w:vAlign w:val="center"/>
          </w:tcPr>
          <w:p w:rsidR="00CB401B" w:rsidRPr="00615B6C" w:rsidRDefault="009A0790" w:rsidP="00C7133E">
            <w:pPr>
              <w:keepNext/>
              <w:jc w:val="center"/>
              <w:rPr>
                <w:rFonts w:cs="Arial"/>
                <w:sz w:val="16"/>
                <w:szCs w:val="16"/>
              </w:rPr>
            </w:pPr>
            <w:r>
              <w:rPr>
                <w:rFonts w:cs="Arial"/>
                <w:sz w:val="16"/>
                <w:szCs w:val="16"/>
              </w:rPr>
              <w:t>100 Euros</w:t>
            </w:r>
          </w:p>
        </w:tc>
      </w:tr>
      <w:tr w:rsidR="00CB401B" w:rsidRPr="00615B6C" w:rsidTr="00C75820">
        <w:trPr>
          <w:cantSplit/>
          <w:trHeight w:val="419"/>
          <w:jc w:val="center"/>
        </w:trPr>
        <w:tc>
          <w:tcPr>
            <w:tcW w:w="4355" w:type="dxa"/>
            <w:vAlign w:val="center"/>
          </w:tcPr>
          <w:p w:rsidR="00CB401B" w:rsidRPr="00615B6C" w:rsidRDefault="00CB401B" w:rsidP="00C7133E">
            <w:pPr>
              <w:keepNext/>
              <w:rPr>
                <w:rFonts w:cs="Arial"/>
                <w:sz w:val="16"/>
                <w:szCs w:val="16"/>
              </w:rPr>
            </w:pPr>
            <w:r w:rsidRPr="00615B6C">
              <w:rPr>
                <w:rFonts w:cs="Arial"/>
                <w:sz w:val="16"/>
                <w:szCs w:val="16"/>
              </w:rPr>
              <w:t>Fourniture dossier PROJET et cahier des charges fonctionnel du SSI</w:t>
            </w:r>
          </w:p>
        </w:tc>
        <w:tc>
          <w:tcPr>
            <w:tcW w:w="5203" w:type="dxa"/>
            <w:vAlign w:val="center"/>
          </w:tcPr>
          <w:p w:rsidR="00CB401B" w:rsidRPr="00615B6C" w:rsidRDefault="009A0790" w:rsidP="00C7133E">
            <w:pPr>
              <w:keepNext/>
              <w:jc w:val="center"/>
              <w:rPr>
                <w:rFonts w:cs="Arial"/>
                <w:sz w:val="16"/>
                <w:szCs w:val="16"/>
              </w:rPr>
            </w:pPr>
            <w:r>
              <w:rPr>
                <w:rFonts w:cs="Arial"/>
                <w:sz w:val="16"/>
                <w:szCs w:val="16"/>
              </w:rPr>
              <w:t>100 Euros</w:t>
            </w:r>
          </w:p>
        </w:tc>
      </w:tr>
      <w:tr w:rsidR="00CB401B" w:rsidRPr="00615B6C" w:rsidTr="00C75820">
        <w:trPr>
          <w:cantSplit/>
          <w:trHeight w:val="418"/>
          <w:jc w:val="center"/>
        </w:trPr>
        <w:tc>
          <w:tcPr>
            <w:tcW w:w="4355" w:type="dxa"/>
            <w:vAlign w:val="center"/>
          </w:tcPr>
          <w:p w:rsidR="00CB401B" w:rsidRPr="00615B6C" w:rsidRDefault="00CB401B" w:rsidP="00C7133E">
            <w:pPr>
              <w:keepNext/>
              <w:rPr>
                <w:rFonts w:cs="Arial"/>
                <w:sz w:val="16"/>
                <w:szCs w:val="16"/>
              </w:rPr>
            </w:pPr>
            <w:r w:rsidRPr="00615B6C">
              <w:rPr>
                <w:rFonts w:cs="Arial"/>
                <w:sz w:val="16"/>
                <w:szCs w:val="16"/>
              </w:rPr>
              <w:t>Fourniture dossier D.C.E.</w:t>
            </w:r>
          </w:p>
        </w:tc>
        <w:tc>
          <w:tcPr>
            <w:tcW w:w="5203" w:type="dxa"/>
            <w:vAlign w:val="center"/>
          </w:tcPr>
          <w:p w:rsidR="00CB401B" w:rsidRPr="00615B6C" w:rsidRDefault="009A0790" w:rsidP="00C7133E">
            <w:pPr>
              <w:keepNext/>
              <w:jc w:val="center"/>
              <w:rPr>
                <w:rFonts w:cs="Arial"/>
                <w:sz w:val="16"/>
                <w:szCs w:val="16"/>
              </w:rPr>
            </w:pPr>
            <w:r>
              <w:rPr>
                <w:rFonts w:cs="Arial"/>
                <w:sz w:val="16"/>
                <w:szCs w:val="16"/>
              </w:rPr>
              <w:t>100 Euros</w:t>
            </w:r>
          </w:p>
        </w:tc>
      </w:tr>
      <w:tr w:rsidR="00CB401B" w:rsidRPr="00615B6C" w:rsidTr="00C75820">
        <w:trPr>
          <w:cantSplit/>
          <w:trHeight w:val="423"/>
          <w:jc w:val="center"/>
        </w:trPr>
        <w:tc>
          <w:tcPr>
            <w:tcW w:w="4355" w:type="dxa"/>
            <w:vAlign w:val="center"/>
          </w:tcPr>
          <w:p w:rsidR="00CB401B" w:rsidRPr="00615B6C" w:rsidRDefault="00CB401B" w:rsidP="00C7133E">
            <w:pPr>
              <w:keepNext/>
              <w:rPr>
                <w:rFonts w:cs="Arial"/>
                <w:sz w:val="16"/>
                <w:szCs w:val="16"/>
              </w:rPr>
            </w:pPr>
            <w:r w:rsidRPr="00615B6C">
              <w:rPr>
                <w:rFonts w:cs="Arial"/>
                <w:sz w:val="16"/>
                <w:szCs w:val="16"/>
              </w:rPr>
              <w:t>Fournitures du rapport d’analyse des offres</w:t>
            </w:r>
          </w:p>
        </w:tc>
        <w:tc>
          <w:tcPr>
            <w:tcW w:w="5203" w:type="dxa"/>
            <w:vAlign w:val="center"/>
          </w:tcPr>
          <w:p w:rsidR="00CB401B" w:rsidRPr="00615B6C" w:rsidRDefault="009A0790" w:rsidP="00C7133E">
            <w:pPr>
              <w:keepNext/>
              <w:jc w:val="center"/>
              <w:rPr>
                <w:rFonts w:cs="Arial"/>
                <w:sz w:val="16"/>
                <w:szCs w:val="16"/>
              </w:rPr>
            </w:pPr>
            <w:r>
              <w:rPr>
                <w:rFonts w:cs="Arial"/>
                <w:sz w:val="16"/>
                <w:szCs w:val="16"/>
              </w:rPr>
              <w:t>60 Euros</w:t>
            </w:r>
          </w:p>
        </w:tc>
      </w:tr>
      <w:tr w:rsidR="00CB401B" w:rsidRPr="0004745E" w:rsidTr="00C75820">
        <w:trPr>
          <w:cantSplit/>
          <w:trHeight w:val="409"/>
          <w:jc w:val="center"/>
        </w:trPr>
        <w:tc>
          <w:tcPr>
            <w:tcW w:w="4355" w:type="dxa"/>
            <w:shd w:val="clear" w:color="auto" w:fill="auto"/>
            <w:vAlign w:val="center"/>
          </w:tcPr>
          <w:p w:rsidR="00CB401B" w:rsidRPr="0004745E" w:rsidRDefault="00CB401B" w:rsidP="00C7133E">
            <w:pPr>
              <w:keepNext/>
              <w:rPr>
                <w:rFonts w:cs="Arial"/>
                <w:sz w:val="16"/>
                <w:szCs w:val="16"/>
              </w:rPr>
            </w:pPr>
            <w:r w:rsidRPr="0004745E">
              <w:rPr>
                <w:rFonts w:cs="Arial"/>
                <w:sz w:val="16"/>
                <w:szCs w:val="16"/>
              </w:rPr>
              <w:t>Fourniture de la notice exposant les modifications suggérées</w:t>
            </w:r>
          </w:p>
        </w:tc>
        <w:tc>
          <w:tcPr>
            <w:tcW w:w="5203" w:type="dxa"/>
            <w:vAlign w:val="center"/>
          </w:tcPr>
          <w:p w:rsidR="00CB401B" w:rsidRPr="0004745E" w:rsidRDefault="009A0790" w:rsidP="00C7133E">
            <w:pPr>
              <w:keepNext/>
              <w:jc w:val="center"/>
              <w:rPr>
                <w:rFonts w:cs="Arial"/>
                <w:sz w:val="16"/>
                <w:szCs w:val="16"/>
              </w:rPr>
            </w:pPr>
            <w:r>
              <w:rPr>
                <w:rFonts w:cs="Arial"/>
                <w:sz w:val="16"/>
                <w:szCs w:val="16"/>
              </w:rPr>
              <w:t>6</w:t>
            </w:r>
            <w:r w:rsidR="00CB401B" w:rsidRPr="0004745E">
              <w:rPr>
                <w:rFonts w:cs="Arial"/>
                <w:sz w:val="16"/>
                <w:szCs w:val="16"/>
              </w:rPr>
              <w:t>0 Euros</w:t>
            </w:r>
          </w:p>
        </w:tc>
      </w:tr>
      <w:tr w:rsidR="00CB401B" w:rsidTr="00C75820">
        <w:trPr>
          <w:cantSplit/>
          <w:trHeight w:val="411"/>
          <w:jc w:val="center"/>
        </w:trPr>
        <w:tc>
          <w:tcPr>
            <w:tcW w:w="4355" w:type="dxa"/>
            <w:vAlign w:val="center"/>
          </w:tcPr>
          <w:p w:rsidR="00CB401B" w:rsidRPr="00615B6C" w:rsidRDefault="00CB401B" w:rsidP="00C7133E">
            <w:pPr>
              <w:keepNext/>
              <w:rPr>
                <w:rFonts w:cs="Arial"/>
                <w:sz w:val="16"/>
                <w:szCs w:val="16"/>
              </w:rPr>
            </w:pPr>
            <w:r>
              <w:rPr>
                <w:rFonts w:cs="Arial"/>
                <w:sz w:val="16"/>
                <w:szCs w:val="16"/>
              </w:rPr>
              <w:t>Retards sur Visas des plans d'exécution</w:t>
            </w:r>
          </w:p>
        </w:tc>
        <w:tc>
          <w:tcPr>
            <w:tcW w:w="5203" w:type="dxa"/>
            <w:vAlign w:val="center"/>
          </w:tcPr>
          <w:p w:rsidR="00CB401B" w:rsidRDefault="009A0790" w:rsidP="00C7133E">
            <w:pPr>
              <w:keepNext/>
              <w:jc w:val="center"/>
              <w:rPr>
                <w:rFonts w:cs="Arial"/>
                <w:sz w:val="16"/>
                <w:szCs w:val="16"/>
              </w:rPr>
            </w:pPr>
            <w:r>
              <w:rPr>
                <w:rFonts w:cs="Arial"/>
                <w:sz w:val="16"/>
                <w:szCs w:val="16"/>
              </w:rPr>
              <w:t>6</w:t>
            </w:r>
            <w:r w:rsidR="00CB401B">
              <w:rPr>
                <w:rFonts w:cs="Arial"/>
                <w:sz w:val="16"/>
                <w:szCs w:val="16"/>
              </w:rPr>
              <w:t>0 Euros</w:t>
            </w:r>
          </w:p>
        </w:tc>
      </w:tr>
      <w:tr w:rsidR="00CB401B" w:rsidTr="00C75820">
        <w:trPr>
          <w:cantSplit/>
          <w:trHeight w:val="411"/>
          <w:jc w:val="center"/>
        </w:trPr>
        <w:tc>
          <w:tcPr>
            <w:tcW w:w="4355" w:type="dxa"/>
            <w:vAlign w:val="center"/>
          </w:tcPr>
          <w:p w:rsidR="00CB401B" w:rsidRPr="00615B6C" w:rsidRDefault="00CB401B" w:rsidP="00C7133E">
            <w:pPr>
              <w:keepNext/>
              <w:rPr>
                <w:rFonts w:cs="Arial"/>
                <w:sz w:val="16"/>
                <w:szCs w:val="16"/>
              </w:rPr>
            </w:pPr>
            <w:r>
              <w:rPr>
                <w:rFonts w:cs="Arial"/>
                <w:sz w:val="16"/>
                <w:szCs w:val="16"/>
              </w:rPr>
              <w:t>Fourniture sur le rapport final OPC</w:t>
            </w:r>
          </w:p>
        </w:tc>
        <w:tc>
          <w:tcPr>
            <w:tcW w:w="5203" w:type="dxa"/>
            <w:vAlign w:val="center"/>
          </w:tcPr>
          <w:p w:rsidR="00CB401B" w:rsidRDefault="009A0790" w:rsidP="00C7133E">
            <w:pPr>
              <w:keepNext/>
              <w:jc w:val="center"/>
              <w:rPr>
                <w:rFonts w:cs="Arial"/>
                <w:sz w:val="16"/>
                <w:szCs w:val="16"/>
              </w:rPr>
            </w:pPr>
            <w:r>
              <w:rPr>
                <w:rFonts w:cs="Arial"/>
                <w:sz w:val="16"/>
                <w:szCs w:val="16"/>
              </w:rPr>
              <w:t>6</w:t>
            </w:r>
            <w:r w:rsidR="00CB401B">
              <w:rPr>
                <w:rFonts w:cs="Arial"/>
                <w:sz w:val="16"/>
                <w:szCs w:val="16"/>
              </w:rPr>
              <w:t>0 Euros</w:t>
            </w:r>
          </w:p>
        </w:tc>
      </w:tr>
      <w:tr w:rsidR="00CB401B" w:rsidRPr="00615B6C" w:rsidTr="00C75820">
        <w:trPr>
          <w:cantSplit/>
          <w:trHeight w:val="417"/>
          <w:jc w:val="center"/>
        </w:trPr>
        <w:tc>
          <w:tcPr>
            <w:tcW w:w="4355" w:type="dxa"/>
            <w:vAlign w:val="center"/>
          </w:tcPr>
          <w:p w:rsidR="00CB401B" w:rsidRPr="00615B6C" w:rsidRDefault="00CB401B" w:rsidP="00C7133E">
            <w:pPr>
              <w:keepNext/>
              <w:rPr>
                <w:rFonts w:cs="Arial"/>
                <w:sz w:val="16"/>
                <w:szCs w:val="16"/>
              </w:rPr>
            </w:pPr>
            <w:r w:rsidRPr="00615B6C">
              <w:rPr>
                <w:rFonts w:cs="Arial"/>
                <w:sz w:val="16"/>
                <w:szCs w:val="16"/>
              </w:rPr>
              <w:t>Fourniture dossier D.O.E.</w:t>
            </w:r>
          </w:p>
        </w:tc>
        <w:tc>
          <w:tcPr>
            <w:tcW w:w="5203" w:type="dxa"/>
            <w:vAlign w:val="center"/>
          </w:tcPr>
          <w:p w:rsidR="00CB401B" w:rsidRPr="00615B6C" w:rsidRDefault="009A0790" w:rsidP="00C7133E">
            <w:pPr>
              <w:keepNext/>
              <w:jc w:val="center"/>
              <w:rPr>
                <w:rFonts w:cs="Arial"/>
                <w:sz w:val="16"/>
                <w:szCs w:val="16"/>
              </w:rPr>
            </w:pPr>
            <w:r>
              <w:rPr>
                <w:rFonts w:cs="Arial"/>
                <w:sz w:val="16"/>
                <w:szCs w:val="16"/>
              </w:rPr>
              <w:t>30</w:t>
            </w:r>
            <w:r w:rsidR="00CB401B" w:rsidRPr="00615B6C">
              <w:rPr>
                <w:rFonts w:cs="Arial"/>
                <w:sz w:val="16"/>
                <w:szCs w:val="16"/>
              </w:rPr>
              <w:t xml:space="preserve"> Euros (applicables par documents manquants)</w:t>
            </w:r>
          </w:p>
        </w:tc>
      </w:tr>
      <w:tr w:rsidR="00CB401B" w:rsidRPr="00615B6C" w:rsidTr="00C75820">
        <w:trPr>
          <w:cantSplit/>
          <w:trHeight w:val="419"/>
          <w:jc w:val="center"/>
        </w:trPr>
        <w:tc>
          <w:tcPr>
            <w:tcW w:w="4355" w:type="dxa"/>
            <w:vAlign w:val="center"/>
          </w:tcPr>
          <w:p w:rsidR="00CB401B" w:rsidRPr="00615B6C" w:rsidRDefault="00CB401B" w:rsidP="00C7133E">
            <w:pPr>
              <w:rPr>
                <w:rFonts w:cs="Arial"/>
                <w:sz w:val="16"/>
                <w:szCs w:val="16"/>
              </w:rPr>
            </w:pPr>
            <w:r w:rsidRPr="00615B6C">
              <w:rPr>
                <w:rFonts w:cs="Arial"/>
                <w:sz w:val="16"/>
                <w:szCs w:val="16"/>
              </w:rPr>
              <w:t>Etablissement décompte mensuel travaux</w:t>
            </w:r>
          </w:p>
        </w:tc>
        <w:tc>
          <w:tcPr>
            <w:tcW w:w="5203" w:type="dxa"/>
            <w:vAlign w:val="center"/>
          </w:tcPr>
          <w:p w:rsidR="00CB401B" w:rsidRPr="00615B6C" w:rsidRDefault="00CB401B" w:rsidP="00C7133E">
            <w:pPr>
              <w:jc w:val="center"/>
              <w:rPr>
                <w:rFonts w:cs="Arial"/>
                <w:sz w:val="16"/>
                <w:szCs w:val="16"/>
              </w:rPr>
            </w:pPr>
            <w:r w:rsidRPr="00615B6C">
              <w:rPr>
                <w:rFonts w:cs="Arial"/>
                <w:sz w:val="16"/>
                <w:szCs w:val="16"/>
              </w:rPr>
              <w:t>1/1000</w:t>
            </w:r>
            <w:r w:rsidRPr="00615B6C">
              <w:rPr>
                <w:rFonts w:cs="Arial"/>
                <w:sz w:val="16"/>
                <w:szCs w:val="16"/>
                <w:vertAlign w:val="superscript"/>
              </w:rPr>
              <w:t>ème</w:t>
            </w:r>
            <w:r w:rsidRPr="00615B6C">
              <w:rPr>
                <w:rFonts w:cs="Arial"/>
                <w:sz w:val="16"/>
                <w:szCs w:val="16"/>
              </w:rPr>
              <w:t xml:space="preserve"> du montant H.T. de l’acompte avec pénalité mini. de </w:t>
            </w:r>
            <w:r w:rsidR="009A0790">
              <w:rPr>
                <w:rFonts w:cs="Arial"/>
                <w:sz w:val="16"/>
                <w:szCs w:val="16"/>
              </w:rPr>
              <w:t>2</w:t>
            </w:r>
            <w:r w:rsidRPr="00615B6C">
              <w:rPr>
                <w:rFonts w:cs="Arial"/>
                <w:sz w:val="16"/>
                <w:szCs w:val="16"/>
              </w:rPr>
              <w:t>0</w:t>
            </w:r>
            <w:r>
              <w:rPr>
                <w:rFonts w:cs="Arial"/>
                <w:sz w:val="16"/>
                <w:szCs w:val="16"/>
              </w:rPr>
              <w:t xml:space="preserve"> Euros </w:t>
            </w:r>
          </w:p>
        </w:tc>
      </w:tr>
      <w:tr w:rsidR="006D0F1C" w:rsidRPr="00615B6C" w:rsidTr="00C75820">
        <w:trPr>
          <w:cantSplit/>
          <w:trHeight w:val="421"/>
          <w:jc w:val="center"/>
        </w:trPr>
        <w:tc>
          <w:tcPr>
            <w:tcW w:w="4355" w:type="dxa"/>
            <w:vAlign w:val="center"/>
          </w:tcPr>
          <w:p w:rsidR="006D0F1C" w:rsidRPr="00615B6C" w:rsidRDefault="006D0F1C" w:rsidP="00C7133E">
            <w:pPr>
              <w:rPr>
                <w:rFonts w:cs="Arial"/>
                <w:sz w:val="16"/>
                <w:szCs w:val="16"/>
              </w:rPr>
            </w:pPr>
            <w:r>
              <w:rPr>
                <w:rFonts w:cs="Arial"/>
                <w:sz w:val="16"/>
                <w:szCs w:val="16"/>
              </w:rPr>
              <w:t>Rapport final de l'OPC</w:t>
            </w:r>
          </w:p>
        </w:tc>
        <w:tc>
          <w:tcPr>
            <w:tcW w:w="5203" w:type="dxa"/>
            <w:vAlign w:val="center"/>
          </w:tcPr>
          <w:p w:rsidR="006D0F1C" w:rsidRPr="00615B6C" w:rsidRDefault="009A0790" w:rsidP="00C7133E">
            <w:pPr>
              <w:jc w:val="center"/>
              <w:rPr>
                <w:rFonts w:cs="Arial"/>
                <w:sz w:val="16"/>
                <w:szCs w:val="16"/>
              </w:rPr>
            </w:pPr>
            <w:r>
              <w:rPr>
                <w:rFonts w:cs="Arial"/>
                <w:sz w:val="16"/>
                <w:szCs w:val="16"/>
              </w:rPr>
              <w:t>4</w:t>
            </w:r>
            <w:r w:rsidR="006D0F1C">
              <w:rPr>
                <w:rFonts w:cs="Arial"/>
                <w:sz w:val="16"/>
                <w:szCs w:val="16"/>
              </w:rPr>
              <w:t>0 Euros</w:t>
            </w:r>
          </w:p>
        </w:tc>
      </w:tr>
      <w:tr w:rsidR="00CB401B" w:rsidRPr="00615B6C" w:rsidTr="006D4E4D">
        <w:trPr>
          <w:cantSplit/>
          <w:trHeight w:val="556"/>
          <w:jc w:val="center"/>
        </w:trPr>
        <w:tc>
          <w:tcPr>
            <w:tcW w:w="4355" w:type="dxa"/>
            <w:vAlign w:val="center"/>
          </w:tcPr>
          <w:p w:rsidR="00CB401B" w:rsidRPr="00615B6C" w:rsidRDefault="00CB401B" w:rsidP="00C7133E">
            <w:pPr>
              <w:rPr>
                <w:rFonts w:cs="Arial"/>
                <w:sz w:val="16"/>
                <w:szCs w:val="16"/>
              </w:rPr>
            </w:pPr>
            <w:r w:rsidRPr="00615B6C">
              <w:rPr>
                <w:rFonts w:cs="Arial"/>
                <w:sz w:val="16"/>
                <w:szCs w:val="16"/>
              </w:rPr>
              <w:t>Etablissement décompte général travaux</w:t>
            </w:r>
          </w:p>
        </w:tc>
        <w:tc>
          <w:tcPr>
            <w:tcW w:w="5203" w:type="dxa"/>
            <w:vAlign w:val="center"/>
          </w:tcPr>
          <w:p w:rsidR="00CB401B" w:rsidRPr="00615B6C" w:rsidRDefault="00CB401B" w:rsidP="00C7133E">
            <w:pPr>
              <w:jc w:val="center"/>
              <w:rPr>
                <w:rFonts w:cs="Arial"/>
                <w:sz w:val="16"/>
                <w:szCs w:val="16"/>
              </w:rPr>
            </w:pPr>
            <w:r w:rsidRPr="00615B6C">
              <w:rPr>
                <w:rFonts w:cs="Arial"/>
                <w:sz w:val="16"/>
                <w:szCs w:val="16"/>
              </w:rPr>
              <w:t>1/10.000</w:t>
            </w:r>
            <w:r w:rsidRPr="00615B6C">
              <w:rPr>
                <w:rFonts w:cs="Arial"/>
                <w:sz w:val="16"/>
                <w:szCs w:val="16"/>
                <w:vertAlign w:val="superscript"/>
              </w:rPr>
              <w:t xml:space="preserve">ème </w:t>
            </w:r>
            <w:r w:rsidRPr="00615B6C">
              <w:rPr>
                <w:rFonts w:cs="Arial"/>
                <w:sz w:val="16"/>
                <w:szCs w:val="16"/>
              </w:rPr>
              <w:t xml:space="preserve">du montant H.T. du décompte général (cumul travaux) avec pénalité mini. de </w:t>
            </w:r>
            <w:r>
              <w:rPr>
                <w:rFonts w:cs="Arial"/>
                <w:sz w:val="16"/>
                <w:szCs w:val="16"/>
              </w:rPr>
              <w:t>2</w:t>
            </w:r>
            <w:r w:rsidRPr="00615B6C">
              <w:rPr>
                <w:rFonts w:cs="Arial"/>
                <w:sz w:val="16"/>
                <w:szCs w:val="16"/>
              </w:rPr>
              <w:t>0</w:t>
            </w:r>
            <w:r>
              <w:rPr>
                <w:rFonts w:cs="Arial"/>
                <w:sz w:val="16"/>
                <w:szCs w:val="16"/>
              </w:rPr>
              <w:t xml:space="preserve"> Euros </w:t>
            </w:r>
          </w:p>
        </w:tc>
      </w:tr>
      <w:tr w:rsidR="00CB401B" w:rsidRPr="00615B6C" w:rsidTr="006D4E4D">
        <w:trPr>
          <w:cantSplit/>
          <w:trHeight w:val="556"/>
          <w:jc w:val="center"/>
        </w:trPr>
        <w:tc>
          <w:tcPr>
            <w:tcW w:w="4355" w:type="dxa"/>
            <w:vAlign w:val="center"/>
          </w:tcPr>
          <w:p w:rsidR="00CB401B" w:rsidRPr="00615B6C" w:rsidRDefault="00CB401B" w:rsidP="00C7133E">
            <w:pPr>
              <w:rPr>
                <w:rFonts w:cs="Arial"/>
                <w:sz w:val="16"/>
                <w:szCs w:val="16"/>
              </w:rPr>
            </w:pPr>
            <w:r w:rsidRPr="00615B6C">
              <w:rPr>
                <w:rFonts w:cs="Arial"/>
                <w:sz w:val="16"/>
                <w:szCs w:val="16"/>
              </w:rPr>
              <w:t>Réception : fourniture P.V. opérations préalables + proposition du maître d’œuvre</w:t>
            </w:r>
          </w:p>
        </w:tc>
        <w:tc>
          <w:tcPr>
            <w:tcW w:w="5203" w:type="dxa"/>
            <w:vAlign w:val="center"/>
          </w:tcPr>
          <w:p w:rsidR="00CB401B" w:rsidRPr="00615B6C" w:rsidRDefault="009A0790" w:rsidP="00C7133E">
            <w:pPr>
              <w:jc w:val="center"/>
              <w:rPr>
                <w:rFonts w:cs="Arial"/>
                <w:sz w:val="16"/>
                <w:szCs w:val="16"/>
              </w:rPr>
            </w:pPr>
            <w:r>
              <w:rPr>
                <w:rFonts w:cs="Arial"/>
                <w:sz w:val="16"/>
                <w:szCs w:val="16"/>
              </w:rPr>
              <w:t>4</w:t>
            </w:r>
            <w:r w:rsidR="00CB401B" w:rsidRPr="00615B6C">
              <w:rPr>
                <w:rFonts w:cs="Arial"/>
                <w:sz w:val="16"/>
                <w:szCs w:val="16"/>
              </w:rPr>
              <w:t xml:space="preserve">0 </w:t>
            </w:r>
            <w:r w:rsidR="00CB401B">
              <w:rPr>
                <w:rFonts w:cs="Arial"/>
                <w:sz w:val="16"/>
                <w:szCs w:val="16"/>
              </w:rPr>
              <w:t>Euros</w:t>
            </w:r>
            <w:r w:rsidR="00CB401B" w:rsidRPr="00615B6C">
              <w:rPr>
                <w:rFonts w:cs="Arial"/>
                <w:sz w:val="16"/>
                <w:szCs w:val="16"/>
              </w:rPr>
              <w:t xml:space="preserve"> (appliquée lot par lot)</w:t>
            </w:r>
          </w:p>
        </w:tc>
      </w:tr>
      <w:tr w:rsidR="00CB401B" w:rsidRPr="00615B6C" w:rsidTr="00C75820">
        <w:trPr>
          <w:cantSplit/>
          <w:trHeight w:val="413"/>
          <w:jc w:val="center"/>
        </w:trPr>
        <w:tc>
          <w:tcPr>
            <w:tcW w:w="4355" w:type="dxa"/>
            <w:vAlign w:val="center"/>
          </w:tcPr>
          <w:p w:rsidR="00CB401B" w:rsidRPr="00615B6C" w:rsidRDefault="00CB401B" w:rsidP="00C7133E">
            <w:pPr>
              <w:rPr>
                <w:rFonts w:cs="Arial"/>
                <w:sz w:val="16"/>
                <w:szCs w:val="16"/>
              </w:rPr>
            </w:pPr>
            <w:r w:rsidRPr="00615B6C">
              <w:rPr>
                <w:rFonts w:cs="Arial"/>
                <w:sz w:val="16"/>
                <w:szCs w:val="16"/>
              </w:rPr>
              <w:t>Etablissement compte rendu réunion</w:t>
            </w:r>
          </w:p>
        </w:tc>
        <w:tc>
          <w:tcPr>
            <w:tcW w:w="5203" w:type="dxa"/>
            <w:vAlign w:val="center"/>
          </w:tcPr>
          <w:p w:rsidR="00CB401B" w:rsidRPr="00615B6C" w:rsidRDefault="009A0790" w:rsidP="00C7133E">
            <w:pPr>
              <w:jc w:val="center"/>
              <w:rPr>
                <w:rFonts w:cs="Arial"/>
                <w:sz w:val="16"/>
                <w:szCs w:val="16"/>
              </w:rPr>
            </w:pPr>
            <w:r>
              <w:rPr>
                <w:rFonts w:cs="Arial"/>
                <w:sz w:val="16"/>
                <w:szCs w:val="16"/>
              </w:rPr>
              <w:t>2</w:t>
            </w:r>
            <w:r w:rsidR="00CB401B" w:rsidRPr="00615B6C">
              <w:rPr>
                <w:rFonts w:cs="Arial"/>
                <w:sz w:val="16"/>
                <w:szCs w:val="16"/>
              </w:rPr>
              <w:t>0</w:t>
            </w:r>
            <w:r w:rsidR="00CB401B" w:rsidRPr="00615B6C">
              <w:rPr>
                <w:rFonts w:cs="Arial"/>
                <w:sz w:val="16"/>
                <w:szCs w:val="16"/>
                <w:vertAlign w:val="superscript"/>
              </w:rPr>
              <w:t xml:space="preserve"> </w:t>
            </w:r>
            <w:r w:rsidR="00661B72">
              <w:rPr>
                <w:rFonts w:cs="Arial"/>
                <w:sz w:val="16"/>
                <w:szCs w:val="16"/>
              </w:rPr>
              <w:t>Euros</w:t>
            </w:r>
            <w:r w:rsidR="00CB401B" w:rsidRPr="00615B6C">
              <w:rPr>
                <w:rFonts w:cs="Arial"/>
                <w:sz w:val="16"/>
                <w:szCs w:val="16"/>
              </w:rPr>
              <w:t xml:space="preserve"> par jour de retard</w:t>
            </w:r>
          </w:p>
        </w:tc>
      </w:tr>
      <w:tr w:rsidR="00CB401B" w:rsidRPr="00615B6C" w:rsidTr="006D4E4D">
        <w:trPr>
          <w:cantSplit/>
          <w:trHeight w:val="556"/>
          <w:jc w:val="center"/>
        </w:trPr>
        <w:tc>
          <w:tcPr>
            <w:tcW w:w="4355" w:type="dxa"/>
            <w:vAlign w:val="center"/>
          </w:tcPr>
          <w:p w:rsidR="00CB401B" w:rsidRPr="00615B6C" w:rsidRDefault="00CB401B" w:rsidP="00C7133E">
            <w:pPr>
              <w:rPr>
                <w:rFonts w:cs="Arial"/>
                <w:sz w:val="16"/>
                <w:szCs w:val="16"/>
              </w:rPr>
            </w:pPr>
            <w:r w:rsidRPr="00615B6C">
              <w:rPr>
                <w:rFonts w:cs="Arial"/>
                <w:sz w:val="16"/>
                <w:szCs w:val="16"/>
              </w:rPr>
              <w:t>Etablissement du rapport relatif aux mémoires en réclamation</w:t>
            </w:r>
          </w:p>
        </w:tc>
        <w:tc>
          <w:tcPr>
            <w:tcW w:w="5203" w:type="dxa"/>
            <w:vAlign w:val="center"/>
          </w:tcPr>
          <w:p w:rsidR="00CB401B" w:rsidRPr="00615B6C" w:rsidRDefault="009A0790" w:rsidP="00C7133E">
            <w:pPr>
              <w:jc w:val="center"/>
              <w:rPr>
                <w:rFonts w:cs="Arial"/>
                <w:sz w:val="16"/>
                <w:szCs w:val="16"/>
              </w:rPr>
            </w:pPr>
            <w:r>
              <w:rPr>
                <w:rFonts w:cs="Arial"/>
                <w:sz w:val="16"/>
                <w:szCs w:val="16"/>
              </w:rPr>
              <w:t>4</w:t>
            </w:r>
            <w:r w:rsidR="00CB401B" w:rsidRPr="00615B6C">
              <w:rPr>
                <w:rFonts w:cs="Arial"/>
                <w:sz w:val="16"/>
                <w:szCs w:val="16"/>
              </w:rPr>
              <w:t xml:space="preserve">0 </w:t>
            </w:r>
            <w:r w:rsidR="00CB401B">
              <w:rPr>
                <w:rFonts w:cs="Arial"/>
                <w:sz w:val="16"/>
                <w:szCs w:val="16"/>
              </w:rPr>
              <w:t>Euros</w:t>
            </w:r>
            <w:r w:rsidR="00CB401B" w:rsidRPr="00615B6C">
              <w:rPr>
                <w:rFonts w:cs="Arial"/>
                <w:sz w:val="16"/>
                <w:szCs w:val="16"/>
              </w:rPr>
              <w:t xml:space="preserve"> (appliquée lot par lot)</w:t>
            </w:r>
          </w:p>
        </w:tc>
      </w:tr>
    </w:tbl>
    <w:p w:rsidR="003F015F" w:rsidRDefault="003F015F" w:rsidP="003F015F">
      <w:pPr>
        <w:pStyle w:val="Titre2"/>
        <w:spacing w:before="0" w:after="0"/>
      </w:pPr>
      <w:bookmarkStart w:id="264" w:name="_Toc133586064"/>
      <w:bookmarkStart w:id="265" w:name="_Toc133586560"/>
      <w:bookmarkStart w:id="266" w:name="_Toc133586639"/>
      <w:bookmarkStart w:id="267" w:name="_Toc133586806"/>
    </w:p>
    <w:p w:rsidR="00AC6232" w:rsidRPr="00790C64" w:rsidRDefault="007F2DE4" w:rsidP="003F015F">
      <w:pPr>
        <w:pStyle w:val="Titre2"/>
        <w:spacing w:before="0"/>
      </w:pPr>
      <w:bookmarkStart w:id="268" w:name="_Toc148692629"/>
      <w:r>
        <w:t>11</w:t>
      </w:r>
      <w:r w:rsidR="00AC6232" w:rsidRPr="009F4700">
        <w:t>.2</w:t>
      </w:r>
      <w:r w:rsidR="00AC6232" w:rsidRPr="00790C64">
        <w:t xml:space="preserve"> Pénalités</w:t>
      </w:r>
      <w:r w:rsidR="00615B6C">
        <w:t xml:space="preserve"> en cas d’absence aux réunions</w:t>
      </w:r>
      <w:bookmarkEnd w:id="264"/>
      <w:bookmarkEnd w:id="265"/>
      <w:bookmarkEnd w:id="266"/>
      <w:bookmarkEnd w:id="267"/>
      <w:bookmarkEnd w:id="268"/>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07"/>
        <w:gridCol w:w="5255"/>
      </w:tblGrid>
      <w:tr w:rsidR="00615B6C" w:rsidRPr="00615B6C" w:rsidTr="006D4E4D">
        <w:trPr>
          <w:cantSplit/>
          <w:trHeight w:val="556"/>
          <w:tblHeader/>
          <w:jc w:val="center"/>
        </w:trPr>
        <w:tc>
          <w:tcPr>
            <w:tcW w:w="4407" w:type="dxa"/>
            <w:shd w:val="clear" w:color="auto" w:fill="F2F2F2"/>
            <w:vAlign w:val="center"/>
          </w:tcPr>
          <w:p w:rsidR="00AC6232" w:rsidRPr="00615B6C" w:rsidRDefault="00AC6232" w:rsidP="00615B6C">
            <w:pPr>
              <w:keepNext/>
              <w:jc w:val="center"/>
              <w:rPr>
                <w:rFonts w:cs="Arial"/>
                <w:sz w:val="16"/>
                <w:szCs w:val="16"/>
              </w:rPr>
            </w:pPr>
            <w:r w:rsidRPr="00615B6C">
              <w:rPr>
                <w:rFonts w:cs="Arial"/>
                <w:b/>
                <w:sz w:val="16"/>
                <w:szCs w:val="16"/>
              </w:rPr>
              <w:t>Absences</w:t>
            </w:r>
          </w:p>
        </w:tc>
        <w:tc>
          <w:tcPr>
            <w:tcW w:w="5255" w:type="dxa"/>
            <w:shd w:val="clear" w:color="auto" w:fill="F2F2F2"/>
            <w:vAlign w:val="center"/>
          </w:tcPr>
          <w:p w:rsidR="00615B6C" w:rsidRDefault="00AC6232" w:rsidP="00615B6C">
            <w:pPr>
              <w:keepNext/>
              <w:jc w:val="center"/>
              <w:rPr>
                <w:rFonts w:cs="Arial"/>
                <w:b/>
                <w:sz w:val="16"/>
                <w:szCs w:val="16"/>
              </w:rPr>
            </w:pPr>
            <w:r w:rsidRPr="00615B6C">
              <w:rPr>
                <w:rFonts w:cs="Arial"/>
                <w:b/>
                <w:sz w:val="16"/>
                <w:szCs w:val="16"/>
              </w:rPr>
              <w:t xml:space="preserve">Montants pénalités </w:t>
            </w:r>
          </w:p>
          <w:p w:rsidR="00AC6232" w:rsidRPr="00615B6C" w:rsidRDefault="00505E7D" w:rsidP="006D4E4D">
            <w:pPr>
              <w:keepNext/>
              <w:jc w:val="center"/>
              <w:rPr>
                <w:rFonts w:cs="Arial"/>
                <w:b/>
                <w:sz w:val="16"/>
                <w:szCs w:val="16"/>
              </w:rPr>
            </w:pPr>
            <w:r>
              <w:rPr>
                <w:rFonts w:cs="Arial"/>
                <w:b/>
                <w:sz w:val="16"/>
                <w:szCs w:val="16"/>
              </w:rPr>
              <w:t>(P</w:t>
            </w:r>
            <w:r w:rsidR="00AC6232" w:rsidRPr="00615B6C">
              <w:rPr>
                <w:rFonts w:cs="Arial"/>
                <w:b/>
                <w:sz w:val="16"/>
                <w:szCs w:val="16"/>
              </w:rPr>
              <w:t>ar absence et par cotraitant dont la présence est obligatoire)</w:t>
            </w:r>
            <w:r w:rsidR="005A7971">
              <w:rPr>
                <w:rFonts w:cs="Arial"/>
                <w:b/>
                <w:sz w:val="16"/>
                <w:szCs w:val="16"/>
              </w:rPr>
              <w:t xml:space="preserve"> </w:t>
            </w:r>
          </w:p>
        </w:tc>
      </w:tr>
      <w:tr w:rsidR="00615B6C" w:rsidRPr="00615B6C" w:rsidTr="006D4E4D">
        <w:trPr>
          <w:cantSplit/>
          <w:trHeight w:val="445"/>
          <w:jc w:val="center"/>
        </w:trPr>
        <w:tc>
          <w:tcPr>
            <w:tcW w:w="4407" w:type="dxa"/>
            <w:vAlign w:val="center"/>
          </w:tcPr>
          <w:p w:rsidR="00AC6232" w:rsidRPr="00615B6C" w:rsidRDefault="00AC6232" w:rsidP="00615B6C">
            <w:pPr>
              <w:keepNext/>
              <w:rPr>
                <w:rFonts w:cs="Arial"/>
                <w:sz w:val="16"/>
                <w:szCs w:val="16"/>
              </w:rPr>
            </w:pPr>
            <w:r w:rsidRPr="00615B6C">
              <w:rPr>
                <w:rFonts w:cs="Arial"/>
                <w:sz w:val="16"/>
                <w:szCs w:val="16"/>
              </w:rPr>
              <w:t>Réunions en phase études</w:t>
            </w:r>
          </w:p>
        </w:tc>
        <w:tc>
          <w:tcPr>
            <w:tcW w:w="5255" w:type="dxa"/>
            <w:vAlign w:val="center"/>
          </w:tcPr>
          <w:p w:rsidR="00AC6232" w:rsidRPr="00615B6C" w:rsidRDefault="009A0790" w:rsidP="00615B6C">
            <w:pPr>
              <w:keepNext/>
              <w:jc w:val="center"/>
              <w:rPr>
                <w:rFonts w:cs="Arial"/>
                <w:sz w:val="16"/>
                <w:szCs w:val="16"/>
              </w:rPr>
            </w:pPr>
            <w:r>
              <w:rPr>
                <w:rFonts w:cs="Arial"/>
                <w:sz w:val="16"/>
                <w:szCs w:val="16"/>
              </w:rPr>
              <w:t>18</w:t>
            </w:r>
            <w:r w:rsidR="00AC6232" w:rsidRPr="00615B6C">
              <w:rPr>
                <w:rFonts w:cs="Arial"/>
                <w:sz w:val="16"/>
                <w:szCs w:val="16"/>
              </w:rPr>
              <w:t>0 Euros</w:t>
            </w:r>
          </w:p>
        </w:tc>
      </w:tr>
      <w:tr w:rsidR="00615B6C" w:rsidRPr="00615B6C" w:rsidTr="006D4E4D">
        <w:trPr>
          <w:cantSplit/>
          <w:trHeight w:val="445"/>
          <w:jc w:val="center"/>
        </w:trPr>
        <w:tc>
          <w:tcPr>
            <w:tcW w:w="4407" w:type="dxa"/>
            <w:vAlign w:val="center"/>
          </w:tcPr>
          <w:p w:rsidR="00505E7D" w:rsidRDefault="00AC6232" w:rsidP="00615B6C">
            <w:pPr>
              <w:keepNext/>
              <w:rPr>
                <w:rFonts w:cs="Arial"/>
                <w:sz w:val="16"/>
                <w:szCs w:val="16"/>
              </w:rPr>
            </w:pPr>
            <w:r w:rsidRPr="00615B6C">
              <w:rPr>
                <w:rFonts w:cs="Arial"/>
                <w:sz w:val="16"/>
                <w:szCs w:val="16"/>
              </w:rPr>
              <w:t xml:space="preserve">Réunions en phase travaux </w:t>
            </w:r>
          </w:p>
          <w:p w:rsidR="00AC6232" w:rsidRPr="00615B6C" w:rsidRDefault="00AC6232" w:rsidP="00615B6C">
            <w:pPr>
              <w:keepNext/>
              <w:rPr>
                <w:rFonts w:cs="Arial"/>
                <w:sz w:val="16"/>
                <w:szCs w:val="16"/>
              </w:rPr>
            </w:pPr>
            <w:r w:rsidRPr="00615B6C">
              <w:rPr>
                <w:rFonts w:cs="Arial"/>
                <w:sz w:val="16"/>
                <w:szCs w:val="16"/>
              </w:rPr>
              <w:t>(réunion de chantier et MOE-MOA-OPC)</w:t>
            </w:r>
          </w:p>
        </w:tc>
        <w:tc>
          <w:tcPr>
            <w:tcW w:w="5255" w:type="dxa"/>
            <w:vAlign w:val="center"/>
          </w:tcPr>
          <w:p w:rsidR="00AC6232" w:rsidRPr="00615B6C" w:rsidRDefault="009A0790" w:rsidP="00615B6C">
            <w:pPr>
              <w:keepNext/>
              <w:jc w:val="center"/>
              <w:rPr>
                <w:rFonts w:cs="Arial"/>
                <w:sz w:val="16"/>
                <w:szCs w:val="16"/>
              </w:rPr>
            </w:pPr>
            <w:r>
              <w:rPr>
                <w:rFonts w:cs="Arial"/>
                <w:sz w:val="16"/>
                <w:szCs w:val="16"/>
              </w:rPr>
              <w:t>18</w:t>
            </w:r>
            <w:r w:rsidRPr="00615B6C">
              <w:rPr>
                <w:rFonts w:cs="Arial"/>
                <w:sz w:val="16"/>
                <w:szCs w:val="16"/>
              </w:rPr>
              <w:t>0 Euros</w:t>
            </w:r>
          </w:p>
        </w:tc>
      </w:tr>
      <w:tr w:rsidR="00615B6C" w:rsidRPr="00615B6C" w:rsidTr="00C75820">
        <w:trPr>
          <w:cantSplit/>
          <w:trHeight w:val="349"/>
          <w:jc w:val="center"/>
        </w:trPr>
        <w:tc>
          <w:tcPr>
            <w:tcW w:w="4407" w:type="dxa"/>
            <w:vAlign w:val="center"/>
          </w:tcPr>
          <w:p w:rsidR="00AC6232" w:rsidRPr="00615B6C" w:rsidRDefault="00AC6232" w:rsidP="00615B6C">
            <w:pPr>
              <w:keepNext/>
              <w:rPr>
                <w:rFonts w:cs="Arial"/>
                <w:sz w:val="16"/>
                <w:szCs w:val="16"/>
              </w:rPr>
            </w:pPr>
            <w:r w:rsidRPr="00615B6C">
              <w:rPr>
                <w:rFonts w:cs="Arial"/>
                <w:sz w:val="16"/>
                <w:szCs w:val="16"/>
              </w:rPr>
              <w:t>Réunions OPR</w:t>
            </w:r>
          </w:p>
        </w:tc>
        <w:tc>
          <w:tcPr>
            <w:tcW w:w="5255" w:type="dxa"/>
            <w:vAlign w:val="center"/>
          </w:tcPr>
          <w:p w:rsidR="00AC6232" w:rsidRPr="00615B6C" w:rsidRDefault="009A0790" w:rsidP="00615B6C">
            <w:pPr>
              <w:keepNext/>
              <w:jc w:val="center"/>
              <w:rPr>
                <w:rFonts w:cs="Arial"/>
                <w:sz w:val="16"/>
                <w:szCs w:val="16"/>
              </w:rPr>
            </w:pPr>
            <w:r>
              <w:rPr>
                <w:rFonts w:cs="Arial"/>
                <w:sz w:val="16"/>
                <w:szCs w:val="16"/>
              </w:rPr>
              <w:t>18</w:t>
            </w:r>
            <w:r w:rsidRPr="00615B6C">
              <w:rPr>
                <w:rFonts w:cs="Arial"/>
                <w:sz w:val="16"/>
                <w:szCs w:val="16"/>
              </w:rPr>
              <w:t>0 Euros</w:t>
            </w:r>
          </w:p>
        </w:tc>
      </w:tr>
      <w:tr w:rsidR="00615B6C" w:rsidRPr="00615B6C" w:rsidTr="006D4E4D">
        <w:trPr>
          <w:cantSplit/>
          <w:trHeight w:val="445"/>
          <w:jc w:val="center"/>
        </w:trPr>
        <w:tc>
          <w:tcPr>
            <w:tcW w:w="4407" w:type="dxa"/>
            <w:vAlign w:val="center"/>
          </w:tcPr>
          <w:p w:rsidR="00AC6232" w:rsidRPr="00615B6C" w:rsidRDefault="00AC6232" w:rsidP="00615B6C">
            <w:pPr>
              <w:keepNext/>
              <w:rPr>
                <w:rFonts w:cs="Arial"/>
                <w:sz w:val="16"/>
                <w:szCs w:val="16"/>
              </w:rPr>
            </w:pPr>
            <w:r w:rsidRPr="00615B6C">
              <w:rPr>
                <w:rFonts w:cs="Arial"/>
                <w:sz w:val="16"/>
                <w:szCs w:val="16"/>
              </w:rPr>
              <w:t>Réunions GPA</w:t>
            </w:r>
          </w:p>
        </w:tc>
        <w:tc>
          <w:tcPr>
            <w:tcW w:w="5255" w:type="dxa"/>
            <w:vAlign w:val="center"/>
          </w:tcPr>
          <w:p w:rsidR="00AC6232" w:rsidRPr="00615B6C" w:rsidRDefault="009A0790" w:rsidP="00615B6C">
            <w:pPr>
              <w:keepNext/>
              <w:jc w:val="center"/>
              <w:rPr>
                <w:rFonts w:cs="Arial"/>
                <w:sz w:val="16"/>
                <w:szCs w:val="16"/>
              </w:rPr>
            </w:pPr>
            <w:r>
              <w:rPr>
                <w:rFonts w:cs="Arial"/>
                <w:sz w:val="16"/>
                <w:szCs w:val="16"/>
              </w:rPr>
              <w:t>18</w:t>
            </w:r>
            <w:r w:rsidRPr="00615B6C">
              <w:rPr>
                <w:rFonts w:cs="Arial"/>
                <w:sz w:val="16"/>
                <w:szCs w:val="16"/>
              </w:rPr>
              <w:t>0 Euros</w:t>
            </w:r>
          </w:p>
        </w:tc>
      </w:tr>
    </w:tbl>
    <w:p w:rsidR="00DD14A7" w:rsidRDefault="00DD14A7" w:rsidP="00DD14A7">
      <w:pPr>
        <w:pStyle w:val="Titre2"/>
      </w:pPr>
      <w:bookmarkStart w:id="269" w:name="_Toc148692630"/>
      <w:r>
        <w:t>11</w:t>
      </w:r>
      <w:r w:rsidRPr="009F4700">
        <w:t>.</w:t>
      </w:r>
      <w:r>
        <w:t>3</w:t>
      </w:r>
      <w:r w:rsidRPr="00790C64">
        <w:t xml:space="preserve"> </w:t>
      </w:r>
      <w:r>
        <w:t>Autres pénalités</w:t>
      </w:r>
      <w:bookmarkEnd w:id="269"/>
    </w:p>
    <w:p w:rsidR="00DD14A7" w:rsidRPr="003F015F" w:rsidRDefault="00DD14A7" w:rsidP="00DD14A7">
      <w:pPr>
        <w:ind w:firstLine="708"/>
        <w:rPr>
          <w:i/>
          <w:u w:val="single"/>
        </w:rPr>
      </w:pPr>
      <w:bookmarkStart w:id="270" w:name="_Toc119597421"/>
      <w:r w:rsidRPr="003F015F">
        <w:rPr>
          <w:i/>
          <w:u w:val="single"/>
        </w:rPr>
        <w:t>11.3.1 Pénalités de retard en cas de retard dans le remplacement d’un intervenant défaillant</w:t>
      </w:r>
      <w:bookmarkEnd w:id="270"/>
    </w:p>
    <w:p w:rsidR="00DD14A7" w:rsidRPr="001A190C" w:rsidRDefault="00DD14A7" w:rsidP="00DD14A7">
      <w:pPr>
        <w:spacing w:after="160" w:line="259" w:lineRule="auto"/>
        <w:rPr>
          <w:rFonts w:eastAsia="Calibri"/>
          <w:szCs w:val="18"/>
          <w:lang w:eastAsia="en-US"/>
        </w:rPr>
      </w:pPr>
      <w:r w:rsidRPr="001A190C">
        <w:rPr>
          <w:rFonts w:eastAsia="Calibri"/>
          <w:szCs w:val="18"/>
          <w:lang w:eastAsia="en-US"/>
        </w:rPr>
        <w:t xml:space="preserve">En cas de retard dans le remplacement d’un intervenant </w:t>
      </w:r>
      <w:r>
        <w:rPr>
          <w:rFonts w:eastAsia="Calibri"/>
          <w:szCs w:val="18"/>
          <w:lang w:eastAsia="en-US"/>
        </w:rPr>
        <w:t>à l’accord-cadre ou à un marché subséquent</w:t>
      </w:r>
      <w:r w:rsidRPr="001A190C">
        <w:rPr>
          <w:rFonts w:eastAsia="Calibri"/>
          <w:szCs w:val="18"/>
          <w:lang w:eastAsia="en-US"/>
        </w:rPr>
        <w:t xml:space="preserve"> après demande du maître d’ouvrage restée sans effet, une pénalité journalière d’un montant de </w:t>
      </w:r>
      <w:r w:rsidR="009A0790" w:rsidRPr="009A0790">
        <w:rPr>
          <w:rFonts w:eastAsia="Calibri"/>
          <w:b/>
          <w:szCs w:val="18"/>
          <w:lang w:eastAsia="en-US"/>
        </w:rPr>
        <w:t>10</w:t>
      </w:r>
      <w:r w:rsidRPr="001A190C">
        <w:rPr>
          <w:rFonts w:eastAsia="Calibri"/>
          <w:b/>
          <w:szCs w:val="18"/>
          <w:lang w:eastAsia="en-US"/>
        </w:rPr>
        <w:t>00 €</w:t>
      </w:r>
      <w:r w:rsidRPr="001A190C">
        <w:rPr>
          <w:rFonts w:eastAsia="Calibri"/>
          <w:szCs w:val="18"/>
          <w:lang w:eastAsia="en-US"/>
        </w:rPr>
        <w:t xml:space="preserve"> sera appliquée au marché de maîtrise d’œuvre sur simple constat.</w:t>
      </w:r>
    </w:p>
    <w:p w:rsidR="00DD14A7" w:rsidRPr="003F015F" w:rsidRDefault="00DD14A7" w:rsidP="00DD14A7">
      <w:pPr>
        <w:ind w:firstLine="708"/>
        <w:rPr>
          <w:i/>
          <w:u w:val="single"/>
        </w:rPr>
      </w:pPr>
      <w:bookmarkStart w:id="271" w:name="_Toc119597422"/>
      <w:r w:rsidRPr="003F015F">
        <w:rPr>
          <w:i/>
          <w:u w:val="single"/>
        </w:rPr>
        <w:t>11.3.2 Pénalités de retard en cas de retard dans la production des attestations d’assurance</w:t>
      </w:r>
      <w:bookmarkEnd w:id="271"/>
    </w:p>
    <w:p w:rsidR="00DD14A7" w:rsidRPr="001A190C" w:rsidRDefault="00DD14A7" w:rsidP="00DD14A7">
      <w:pPr>
        <w:spacing w:after="160" w:line="259" w:lineRule="auto"/>
        <w:rPr>
          <w:rFonts w:eastAsia="Calibri"/>
          <w:szCs w:val="18"/>
          <w:lang w:eastAsia="en-US"/>
        </w:rPr>
      </w:pPr>
      <w:r w:rsidRPr="001A190C">
        <w:rPr>
          <w:rFonts w:eastAsia="Calibri"/>
          <w:szCs w:val="18"/>
          <w:lang w:eastAsia="en-US"/>
        </w:rPr>
        <w:t>En cas de retard dans la remise des attestations d’assurance prévues à l’article 12</w:t>
      </w:r>
      <w:r>
        <w:rPr>
          <w:rFonts w:eastAsia="Calibri"/>
          <w:szCs w:val="18"/>
          <w:lang w:eastAsia="en-US"/>
        </w:rPr>
        <w:t>.1</w:t>
      </w:r>
      <w:r w:rsidRPr="001A190C">
        <w:rPr>
          <w:rFonts w:eastAsia="Calibri"/>
          <w:szCs w:val="18"/>
          <w:lang w:eastAsia="en-US"/>
        </w:rPr>
        <w:t xml:space="preserve"> du présent CCAP, une pénalité journalière d’un montant de </w:t>
      </w:r>
      <w:r w:rsidR="009A0790" w:rsidRPr="009A0790">
        <w:rPr>
          <w:rFonts w:eastAsia="Calibri"/>
          <w:b/>
          <w:szCs w:val="18"/>
          <w:lang w:eastAsia="en-US"/>
        </w:rPr>
        <w:t>4</w:t>
      </w:r>
      <w:r w:rsidRPr="001A190C">
        <w:rPr>
          <w:rFonts w:eastAsia="Calibri"/>
          <w:b/>
          <w:szCs w:val="18"/>
          <w:lang w:eastAsia="en-US"/>
        </w:rPr>
        <w:t>00 €</w:t>
      </w:r>
      <w:r w:rsidRPr="001A190C">
        <w:rPr>
          <w:rFonts w:eastAsia="Calibri"/>
          <w:szCs w:val="18"/>
          <w:lang w:eastAsia="en-US"/>
        </w:rPr>
        <w:t xml:space="preserve"> sera appliquée au marché de maîtrise d’œuvre sur simple constat.</w:t>
      </w:r>
    </w:p>
    <w:p w:rsidR="00DD14A7" w:rsidRPr="003F015F" w:rsidRDefault="00DD14A7" w:rsidP="00DD14A7">
      <w:pPr>
        <w:ind w:firstLine="708"/>
        <w:rPr>
          <w:i/>
          <w:u w:val="single"/>
        </w:rPr>
      </w:pPr>
      <w:bookmarkStart w:id="272" w:name="_Toc204163054"/>
      <w:bookmarkStart w:id="273" w:name="_Toc255207780"/>
      <w:bookmarkStart w:id="274" w:name="_Toc469583761"/>
      <w:bookmarkStart w:id="275" w:name="_Toc506386865"/>
      <w:bookmarkStart w:id="276" w:name="_Toc518045496"/>
      <w:bookmarkStart w:id="277" w:name="_Toc518051611"/>
      <w:bookmarkStart w:id="278" w:name="_Toc518051724"/>
      <w:bookmarkStart w:id="279" w:name="_Toc518052062"/>
      <w:bookmarkStart w:id="280" w:name="_Toc92902495"/>
      <w:bookmarkStart w:id="281" w:name="_Toc119597423"/>
      <w:r w:rsidRPr="003F015F">
        <w:rPr>
          <w:i/>
          <w:u w:val="single"/>
        </w:rPr>
        <w:t>11.3.3 Pénalités de retard en cas de retard dans la transmission des contrats de sous-traitance au pouvoir adjudicateur</w:t>
      </w:r>
      <w:bookmarkEnd w:id="272"/>
      <w:bookmarkEnd w:id="273"/>
      <w:bookmarkEnd w:id="274"/>
      <w:bookmarkEnd w:id="275"/>
      <w:bookmarkEnd w:id="276"/>
      <w:bookmarkEnd w:id="277"/>
      <w:bookmarkEnd w:id="278"/>
      <w:bookmarkEnd w:id="279"/>
      <w:bookmarkEnd w:id="280"/>
      <w:bookmarkEnd w:id="281"/>
    </w:p>
    <w:p w:rsidR="00DD14A7" w:rsidRPr="001A190C" w:rsidRDefault="00DD14A7" w:rsidP="00DD14A7">
      <w:pPr>
        <w:spacing w:line="259" w:lineRule="auto"/>
        <w:rPr>
          <w:rFonts w:eastAsia="Calibri"/>
          <w:szCs w:val="18"/>
          <w:lang w:eastAsia="en-US"/>
        </w:rPr>
      </w:pPr>
      <w:r w:rsidRPr="001A190C">
        <w:rPr>
          <w:rFonts w:eastAsia="Calibri"/>
          <w:szCs w:val="18"/>
          <w:lang w:eastAsia="en-US"/>
        </w:rPr>
        <w:t>Conformément à l’article 13 du présent CCAP, le titulaire est tenu de communiquer le ou les contrats de sous-traitance au représentant du pouvoir adjudicateur, lorsque celui-ci en fait la demande.</w:t>
      </w:r>
    </w:p>
    <w:p w:rsidR="00DD14A7" w:rsidRDefault="00DD14A7" w:rsidP="00DD14A7">
      <w:pPr>
        <w:spacing w:line="259" w:lineRule="auto"/>
        <w:rPr>
          <w:rFonts w:eastAsia="Calibri"/>
          <w:szCs w:val="18"/>
          <w:lang w:eastAsia="en-US"/>
        </w:rPr>
      </w:pPr>
      <w:r w:rsidRPr="001A190C">
        <w:rPr>
          <w:rFonts w:eastAsia="Calibri"/>
          <w:szCs w:val="18"/>
          <w:lang w:eastAsia="en-US"/>
        </w:rPr>
        <w:t xml:space="preserve">Par </w:t>
      </w:r>
      <w:r w:rsidRPr="002B7C6C">
        <w:rPr>
          <w:rFonts w:eastAsia="Calibri"/>
          <w:szCs w:val="18"/>
          <w:lang w:eastAsia="en-US"/>
        </w:rPr>
        <w:t>dérogation à l’article 3.6.3 du CCAG-MOE, en</w:t>
      </w:r>
      <w:r w:rsidRPr="001A190C">
        <w:rPr>
          <w:rFonts w:eastAsia="Calibri"/>
          <w:szCs w:val="18"/>
          <w:lang w:eastAsia="en-US"/>
        </w:rPr>
        <w:t xml:space="preserve"> cas de retard dans la remise de ces documents une pénalité journalière d’un montant de </w:t>
      </w:r>
      <w:r w:rsidR="009A0790">
        <w:rPr>
          <w:rFonts w:eastAsia="Calibri"/>
          <w:b/>
          <w:szCs w:val="18"/>
          <w:lang w:eastAsia="en-US"/>
        </w:rPr>
        <w:t>4</w:t>
      </w:r>
      <w:r w:rsidRPr="001A190C">
        <w:rPr>
          <w:rFonts w:eastAsia="Calibri"/>
          <w:b/>
          <w:szCs w:val="18"/>
          <w:lang w:eastAsia="en-US"/>
        </w:rPr>
        <w:t>00 €</w:t>
      </w:r>
      <w:r w:rsidRPr="001A190C">
        <w:rPr>
          <w:rFonts w:eastAsia="Calibri"/>
          <w:szCs w:val="18"/>
          <w:lang w:eastAsia="en-US"/>
        </w:rPr>
        <w:t xml:space="preserve"> sera appliquée au marché de maîtrise d’œuvre sur simple constat.</w:t>
      </w:r>
    </w:p>
    <w:p w:rsidR="006D4E4D" w:rsidRDefault="006D4E4D" w:rsidP="00DD14A7">
      <w:pPr>
        <w:spacing w:line="259" w:lineRule="auto"/>
        <w:rPr>
          <w:rFonts w:eastAsia="Calibri"/>
          <w:szCs w:val="18"/>
          <w:lang w:eastAsia="en-US"/>
        </w:rPr>
      </w:pPr>
    </w:p>
    <w:p w:rsidR="00DD14A7" w:rsidRPr="003F015F" w:rsidRDefault="00DD14A7" w:rsidP="00DD14A7">
      <w:pPr>
        <w:ind w:firstLine="708"/>
        <w:rPr>
          <w:i/>
          <w:u w:val="single"/>
        </w:rPr>
      </w:pPr>
      <w:bookmarkStart w:id="282" w:name="_Toc33009914"/>
      <w:bookmarkStart w:id="283" w:name="_Toc119597425"/>
      <w:bookmarkStart w:id="284" w:name="_Hlk97643801"/>
      <w:r w:rsidRPr="003F015F">
        <w:rPr>
          <w:i/>
          <w:u w:val="single"/>
        </w:rPr>
        <w:lastRenderedPageBreak/>
        <w:t>11.3.4 Pénalités relatives à la qualité de la prestation</w:t>
      </w:r>
      <w:bookmarkEnd w:id="282"/>
      <w:bookmarkEnd w:id="283"/>
    </w:p>
    <w:bookmarkEnd w:id="284"/>
    <w:p w:rsidR="00DD14A7" w:rsidRPr="001A190C" w:rsidRDefault="00DD14A7" w:rsidP="00DD14A7">
      <w:pPr>
        <w:autoSpaceDE w:val="0"/>
        <w:autoSpaceDN w:val="0"/>
        <w:adjustRightInd w:val="0"/>
        <w:rPr>
          <w:rFonts w:cs="Arial"/>
          <w:szCs w:val="18"/>
        </w:rPr>
      </w:pPr>
      <w:r w:rsidRPr="001A190C">
        <w:rPr>
          <w:rFonts w:cs="Arial"/>
          <w:szCs w:val="18"/>
        </w:rPr>
        <w:t xml:space="preserve">En cas de remise de livrables manifestement et substantiellement incomplet ou manifestement et substantiellement non conforme aux stipulations </w:t>
      </w:r>
      <w:r>
        <w:rPr>
          <w:rFonts w:cs="Arial"/>
          <w:szCs w:val="18"/>
        </w:rPr>
        <w:t xml:space="preserve">de l’accord-cadre ou des </w:t>
      </w:r>
      <w:r>
        <w:rPr>
          <w:rFonts w:cs="Verdana"/>
          <w:szCs w:val="18"/>
        </w:rPr>
        <w:t xml:space="preserve">marchés subséquents </w:t>
      </w:r>
      <w:r w:rsidRPr="001A190C">
        <w:rPr>
          <w:rFonts w:cs="Arial"/>
          <w:szCs w:val="18"/>
        </w:rPr>
        <w:t xml:space="preserve">ou comportant plus de dix (10) fautes d’orthographe et/ou de grammaire, une pénalité d’un montant de </w:t>
      </w:r>
      <w:r w:rsidR="009A0790">
        <w:rPr>
          <w:rFonts w:cs="Arial"/>
          <w:b/>
          <w:szCs w:val="18"/>
        </w:rPr>
        <w:t>cent</w:t>
      </w:r>
      <w:r w:rsidRPr="001A190C">
        <w:rPr>
          <w:rFonts w:cs="Arial"/>
          <w:b/>
          <w:szCs w:val="18"/>
        </w:rPr>
        <w:t xml:space="preserve"> (</w:t>
      </w:r>
      <w:r w:rsidR="009A0790">
        <w:rPr>
          <w:rFonts w:cs="Arial"/>
          <w:b/>
          <w:szCs w:val="18"/>
        </w:rPr>
        <w:t>10</w:t>
      </w:r>
      <w:r w:rsidRPr="001A190C">
        <w:rPr>
          <w:rFonts w:cs="Arial"/>
          <w:b/>
          <w:szCs w:val="18"/>
        </w:rPr>
        <w:t>0) euros</w:t>
      </w:r>
      <w:r w:rsidRPr="001A190C">
        <w:rPr>
          <w:rFonts w:cs="Arial"/>
          <w:szCs w:val="18"/>
        </w:rPr>
        <w:t xml:space="preserve"> </w:t>
      </w:r>
      <w:r w:rsidRPr="001A190C">
        <w:rPr>
          <w:rFonts w:cs="Arial"/>
          <w:b/>
          <w:szCs w:val="18"/>
        </w:rPr>
        <w:t>hors taxes</w:t>
      </w:r>
      <w:r w:rsidRPr="001A190C">
        <w:rPr>
          <w:rFonts w:cs="Arial"/>
          <w:szCs w:val="18"/>
        </w:rPr>
        <w:t xml:space="preserve"> </w:t>
      </w:r>
      <w:r w:rsidRPr="001A190C">
        <w:rPr>
          <w:rFonts w:cs="Arial"/>
          <w:b/>
          <w:szCs w:val="18"/>
        </w:rPr>
        <w:t>par livrable</w:t>
      </w:r>
      <w:r w:rsidRPr="001A190C">
        <w:rPr>
          <w:rFonts w:cs="Arial"/>
          <w:szCs w:val="18"/>
        </w:rPr>
        <w:t xml:space="preserve"> sera appliquée au titulaire, après mise en demeure motivée par le pouvoir adjudicateur. Cette pénalité sera renouvelée après chaque nouvelle remise qui ne satisferait pas les obligations contractuelles.</w:t>
      </w:r>
    </w:p>
    <w:p w:rsidR="00DD14A7" w:rsidRPr="00DA780F" w:rsidRDefault="00DD14A7" w:rsidP="00DD14A7">
      <w:pPr>
        <w:autoSpaceDE w:val="0"/>
        <w:autoSpaceDN w:val="0"/>
        <w:adjustRightInd w:val="0"/>
        <w:rPr>
          <w:rFonts w:cs="Arial"/>
          <w:b/>
          <w:sz w:val="10"/>
          <w:szCs w:val="10"/>
          <w:u w:val="single"/>
        </w:rPr>
      </w:pPr>
    </w:p>
    <w:p w:rsidR="00DD14A7" w:rsidRDefault="00DD14A7" w:rsidP="00DD14A7">
      <w:pPr>
        <w:autoSpaceDE w:val="0"/>
        <w:autoSpaceDN w:val="0"/>
        <w:adjustRightInd w:val="0"/>
        <w:rPr>
          <w:rFonts w:cs="Arial"/>
          <w:szCs w:val="18"/>
        </w:rPr>
      </w:pPr>
      <w:r w:rsidRPr="001A190C">
        <w:rPr>
          <w:rFonts w:cs="Arial"/>
          <w:szCs w:val="18"/>
        </w:rPr>
        <w:t>En cas de manquement et/ou dysfonctionnement constaté par le pouvoir adjudicateur, à une ou plusieurs obligations du marché, une pénalité journalière d’un montant de</w:t>
      </w:r>
      <w:r w:rsidRPr="00F43FE1">
        <w:rPr>
          <w:rFonts w:cs="Arial"/>
          <w:b/>
          <w:szCs w:val="18"/>
        </w:rPr>
        <w:t xml:space="preserve"> </w:t>
      </w:r>
      <w:r w:rsidR="009A0790">
        <w:rPr>
          <w:rFonts w:cs="Arial"/>
          <w:b/>
          <w:szCs w:val="18"/>
        </w:rPr>
        <w:t>six</w:t>
      </w:r>
      <w:r>
        <w:rPr>
          <w:rFonts w:cs="Arial"/>
          <w:szCs w:val="18"/>
        </w:rPr>
        <w:t xml:space="preserve"> </w:t>
      </w:r>
      <w:r w:rsidRPr="001A190C">
        <w:rPr>
          <w:rFonts w:cs="Arial"/>
          <w:b/>
          <w:bCs/>
          <w:szCs w:val="18"/>
        </w:rPr>
        <w:t>cent (</w:t>
      </w:r>
      <w:r w:rsidR="009A0790">
        <w:rPr>
          <w:rFonts w:cs="Arial"/>
          <w:b/>
          <w:bCs/>
          <w:szCs w:val="18"/>
        </w:rPr>
        <w:t>6</w:t>
      </w:r>
      <w:r w:rsidRPr="001A190C">
        <w:rPr>
          <w:rFonts w:cs="Arial"/>
          <w:b/>
          <w:bCs/>
          <w:szCs w:val="18"/>
        </w:rPr>
        <w:t>0</w:t>
      </w:r>
      <w:r w:rsidRPr="001A190C">
        <w:rPr>
          <w:rFonts w:cs="Arial"/>
          <w:b/>
          <w:bCs/>
          <w:szCs w:val="18"/>
          <w:lang w:val="x-none"/>
        </w:rPr>
        <w:t>0</w:t>
      </w:r>
      <w:r w:rsidRPr="001A190C">
        <w:rPr>
          <w:rFonts w:cs="Arial"/>
          <w:b/>
          <w:bCs/>
          <w:szCs w:val="18"/>
        </w:rPr>
        <w:t>)</w:t>
      </w:r>
      <w:r w:rsidRPr="001A190C">
        <w:rPr>
          <w:rFonts w:cs="Arial"/>
          <w:b/>
          <w:bCs/>
          <w:szCs w:val="18"/>
          <w:lang w:val="x-none"/>
        </w:rPr>
        <w:t xml:space="preserve"> </w:t>
      </w:r>
      <w:r w:rsidRPr="001A190C">
        <w:rPr>
          <w:rFonts w:cs="Arial"/>
          <w:b/>
          <w:bCs/>
          <w:szCs w:val="18"/>
        </w:rPr>
        <w:t>euros</w:t>
      </w:r>
      <w:r w:rsidRPr="001A190C">
        <w:rPr>
          <w:rFonts w:cs="Arial"/>
          <w:b/>
          <w:bCs/>
          <w:szCs w:val="18"/>
          <w:lang w:val="x-none"/>
        </w:rPr>
        <w:t xml:space="preserve"> </w:t>
      </w:r>
      <w:r w:rsidRPr="001A190C">
        <w:rPr>
          <w:rFonts w:cs="Arial"/>
          <w:b/>
          <w:bCs/>
          <w:szCs w:val="18"/>
        </w:rPr>
        <w:t>hors taxes</w:t>
      </w:r>
      <w:r w:rsidRPr="001A190C">
        <w:rPr>
          <w:rFonts w:cs="Arial"/>
          <w:b/>
          <w:bCs/>
          <w:szCs w:val="18"/>
          <w:lang w:val="x-none"/>
        </w:rPr>
        <w:t xml:space="preserve"> </w:t>
      </w:r>
      <w:r w:rsidRPr="001A190C">
        <w:rPr>
          <w:rFonts w:cs="Arial"/>
          <w:szCs w:val="18"/>
        </w:rPr>
        <w:t>sera appliquée au titulaire, après mise en demeure motivée par le pouvoir adjudicateur, jusqu’au traitement et résolution du manquement et/ou dysfonctionnement constaté.</w:t>
      </w:r>
    </w:p>
    <w:p w:rsidR="00DD14A7" w:rsidRPr="00081270" w:rsidRDefault="00DD14A7" w:rsidP="00DD14A7">
      <w:pPr>
        <w:autoSpaceDE w:val="0"/>
        <w:autoSpaceDN w:val="0"/>
        <w:adjustRightInd w:val="0"/>
        <w:rPr>
          <w:rFonts w:cs="Arial"/>
          <w:szCs w:val="18"/>
        </w:rPr>
      </w:pPr>
    </w:p>
    <w:p w:rsidR="00DD14A7" w:rsidRPr="003F015F" w:rsidRDefault="00DD14A7" w:rsidP="00DD14A7">
      <w:pPr>
        <w:ind w:firstLine="708"/>
        <w:rPr>
          <w:i/>
          <w:u w:val="single"/>
        </w:rPr>
      </w:pPr>
      <w:bookmarkStart w:id="285" w:name="_Toc119597426"/>
      <w:r w:rsidRPr="003F015F">
        <w:rPr>
          <w:i/>
          <w:u w:val="single"/>
        </w:rPr>
        <w:t>11.3.5 Pénalités de lutte contre le travail dissimulé</w:t>
      </w:r>
      <w:bookmarkEnd w:id="285"/>
    </w:p>
    <w:p w:rsidR="00DD14A7" w:rsidRDefault="00DD14A7" w:rsidP="00DD14A7">
      <w:r w:rsidRPr="00F43FE1">
        <w:rPr>
          <w:rFonts w:cs="Verdana"/>
          <w:szCs w:val="18"/>
        </w:rPr>
        <w:t>En application de l’article L.8222-6 du Code du travail.</w:t>
      </w:r>
      <w:r>
        <w:rPr>
          <w:rFonts w:cs="Verdana"/>
          <w:szCs w:val="18"/>
        </w:rPr>
        <w:t xml:space="preserve"> Conformément, une pénalité peut être appliquée au titulaire s'il ne s'acquitte pas des formalités mentionnées aux articles L.8221-3 à L. 8221-5 du code du travail.</w:t>
      </w:r>
    </w:p>
    <w:p w:rsidR="00DD14A7" w:rsidRPr="00081270" w:rsidRDefault="00DD14A7" w:rsidP="00DD14A7">
      <w:r>
        <w:rPr>
          <w:rFonts w:cs="Verdana"/>
          <w:szCs w:val="18"/>
        </w:rPr>
        <w:t>Le montant de cette pénalité est égal à 10 % du montant du contrat et ne peut excéder celui des amendes encourues en application des articles L. 8224-1, L. 8224-2 et L. 8224-5 du code du travail.</w:t>
      </w:r>
    </w:p>
    <w:p w:rsidR="00DD14A7" w:rsidRDefault="00DD14A7" w:rsidP="00DD14A7">
      <w:pPr>
        <w:rPr>
          <w:rFonts w:cs="Verdana"/>
          <w:b/>
          <w:bCs/>
          <w:iCs/>
          <w:szCs w:val="18"/>
        </w:rPr>
      </w:pPr>
    </w:p>
    <w:p w:rsidR="00DD14A7" w:rsidRPr="003F015F" w:rsidRDefault="00DD14A7" w:rsidP="00DD14A7">
      <w:pPr>
        <w:ind w:firstLine="708"/>
        <w:rPr>
          <w:i/>
          <w:u w:val="single"/>
        </w:rPr>
      </w:pPr>
      <w:r w:rsidRPr="003F015F">
        <w:rPr>
          <w:i/>
          <w:u w:val="single"/>
        </w:rPr>
        <w:t>11.3.6 Pénalité en cas de non-respect de l’engagement sur le coût des travaux</w:t>
      </w:r>
    </w:p>
    <w:p w:rsidR="00DD14A7" w:rsidRPr="005E4F96" w:rsidRDefault="00DD14A7" w:rsidP="00DD14A7">
      <w:pPr>
        <w:spacing w:after="120"/>
        <w:rPr>
          <w:b/>
          <w:noProof/>
          <w:szCs w:val="18"/>
        </w:rPr>
      </w:pPr>
      <w:r w:rsidRPr="005E4F96">
        <w:rPr>
          <w:rFonts w:cs="Arial"/>
          <w:szCs w:val="18"/>
        </w:rPr>
        <w:t>U</w:t>
      </w:r>
      <w:r w:rsidRPr="005E4F96">
        <w:rPr>
          <w:noProof/>
          <w:szCs w:val="18"/>
        </w:rPr>
        <w:t>n taux de pénalité de 10 % appliqué à la rémunération du titulaire, si le coût constaté des travaux dépasse la marge de tolérance</w:t>
      </w:r>
      <w:r w:rsidRPr="005E4F96">
        <w:rPr>
          <w:b/>
          <w:noProof/>
          <w:szCs w:val="18"/>
        </w:rPr>
        <w:t xml:space="preserve"> </w:t>
      </w:r>
      <w:r w:rsidRPr="005E4F96">
        <w:rPr>
          <w:rFonts w:cs="Arial"/>
          <w:szCs w:val="18"/>
        </w:rPr>
        <w:t>mentionné à l’article 10.1.6 du présent CCAP relatif à l’engagement sur le coût des travaux.</w:t>
      </w:r>
    </w:p>
    <w:p w:rsidR="00DD14A7" w:rsidRPr="005E4F96" w:rsidRDefault="00DD14A7" w:rsidP="00DD14A7">
      <w:pPr>
        <w:spacing w:after="120"/>
        <w:rPr>
          <w:noProof/>
          <w:szCs w:val="18"/>
        </w:rPr>
      </w:pPr>
      <w:r w:rsidRPr="005E4F96">
        <w:rPr>
          <w:noProof/>
          <w:szCs w:val="18"/>
        </w:rPr>
        <w:t>La pénalité sera égale au produit de ce taux de pénalité par le montant du dépassement par rapport au coût prévisible fixé par le marché subséquent après abattement de la marge de tolérance.</w:t>
      </w:r>
    </w:p>
    <w:p w:rsidR="00DD14A7" w:rsidRPr="005E4F96" w:rsidRDefault="00DD14A7" w:rsidP="00DD14A7">
      <w:pPr>
        <w:spacing w:after="120"/>
        <w:rPr>
          <w:noProof/>
          <w:szCs w:val="18"/>
        </w:rPr>
      </w:pPr>
      <w:r w:rsidRPr="005E4F96">
        <w:rPr>
          <w:noProof/>
          <w:szCs w:val="18"/>
        </w:rPr>
        <w:t>Le coût constaté résulte du montant des travaux figurant dans les décomptes généraux des marchés de travaux relatifs à la réalisation de l'ouvrage.</w:t>
      </w:r>
    </w:p>
    <w:p w:rsidR="00DC32C9" w:rsidRDefault="00DD14A7" w:rsidP="00DD14A7">
      <w:pPr>
        <w:spacing w:after="120"/>
        <w:rPr>
          <w:noProof/>
          <w:szCs w:val="18"/>
        </w:rPr>
      </w:pPr>
      <w:r w:rsidRPr="005E4F96">
        <w:rPr>
          <w:noProof/>
          <w:szCs w:val="18"/>
        </w:rPr>
        <w:t xml:space="preserve">Pour permettre la comparaison entre le coût prévisible des travaux fixé ci-dessus et le coût constaté des travaux, ceux-ci seront ramenés à la date du mois de notification </w:t>
      </w:r>
      <w:r>
        <w:rPr>
          <w:noProof/>
          <w:szCs w:val="18"/>
        </w:rPr>
        <w:t>du marché subséquent</w:t>
      </w:r>
      <w:r w:rsidRPr="005E4F96">
        <w:rPr>
          <w:noProof/>
          <w:szCs w:val="18"/>
        </w:rPr>
        <w:t xml:space="preserve"> par utilisation de l'index BT 01. Le montant des travaux ne prendra pas en compte les travaux supplémentaires demandés par le maître d'ouvrage ou entraînés par une modification des informations fournies par celui-ci, ou en cas de force majeure (comme par exemple un changement de réglementation ou incidence financière de la liquidation judiciaire d'une entreprise), si cette modification n'a pas fait l'objet </w:t>
      </w:r>
      <w:r>
        <w:rPr>
          <w:noProof/>
          <w:szCs w:val="18"/>
        </w:rPr>
        <w:t>d’une modification de contrat (avenant)</w:t>
      </w:r>
      <w:r w:rsidRPr="005E4F96">
        <w:rPr>
          <w:noProof/>
          <w:szCs w:val="18"/>
        </w:rPr>
        <w:t>.</w:t>
      </w:r>
    </w:p>
    <w:p w:rsidR="00DC32C9" w:rsidRPr="004506D2" w:rsidRDefault="00DC32C9" w:rsidP="00DC32C9">
      <w:pPr>
        <w:pStyle w:val="Titre2"/>
      </w:pPr>
      <w:bookmarkStart w:id="286" w:name="_Toc119597428"/>
      <w:bookmarkStart w:id="287" w:name="_Toc148692631"/>
      <w:r w:rsidRPr="004506D2">
        <w:t>11.</w:t>
      </w:r>
      <w:r>
        <w:t>4</w:t>
      </w:r>
      <w:r w:rsidRPr="004506D2">
        <w:t xml:space="preserve"> Modalité</w:t>
      </w:r>
      <w:r>
        <w:t>s</w:t>
      </w:r>
      <w:r w:rsidRPr="004506D2">
        <w:t xml:space="preserve"> d’application des pénalités</w:t>
      </w:r>
      <w:bookmarkEnd w:id="286"/>
      <w:bookmarkEnd w:id="287"/>
    </w:p>
    <w:p w:rsidR="00DC32C9" w:rsidRDefault="00DC32C9" w:rsidP="00DC32C9">
      <w:pPr>
        <w:rPr>
          <w:rFonts w:cs="Arial"/>
          <w:szCs w:val="18"/>
        </w:rPr>
      </w:pPr>
      <w:r>
        <w:rPr>
          <w:rFonts w:cs="Arial"/>
          <w:szCs w:val="18"/>
        </w:rPr>
        <w:t>L’ensemble des pénalités sont cumulables entre elles.</w:t>
      </w:r>
    </w:p>
    <w:p w:rsidR="00DC32C9" w:rsidRPr="006D4E4D" w:rsidRDefault="00DC32C9" w:rsidP="00DC32C9">
      <w:pPr>
        <w:rPr>
          <w:rFonts w:cs="Arial"/>
          <w:sz w:val="10"/>
          <w:szCs w:val="10"/>
          <w:highlight w:val="cyan"/>
        </w:rPr>
      </w:pPr>
    </w:p>
    <w:p w:rsidR="00DC32C9" w:rsidRDefault="00DC32C9" w:rsidP="00DC32C9">
      <w:pPr>
        <w:rPr>
          <w:rFonts w:cs="Arial"/>
          <w:szCs w:val="18"/>
        </w:rPr>
      </w:pPr>
      <w:r w:rsidRPr="0097603B">
        <w:rPr>
          <w:rFonts w:cs="Arial"/>
          <w:szCs w:val="18"/>
        </w:rPr>
        <w:t xml:space="preserve">Les pénalités seront </w:t>
      </w:r>
      <w:r w:rsidRPr="0097603B">
        <w:rPr>
          <w:rFonts w:cs="Arial"/>
          <w:b/>
          <w:szCs w:val="18"/>
        </w:rPr>
        <w:t>directement imputées</w:t>
      </w:r>
      <w:r w:rsidRPr="0097603B">
        <w:rPr>
          <w:rFonts w:cs="Arial"/>
          <w:szCs w:val="18"/>
        </w:rPr>
        <w:t xml:space="preserve"> le cas échéant sur les sommes dues au titre de prestations déjà effectuées si elles n’ont pas été payées ou sur les sommes dues au titre des prestations à venir jusqu'à apurement du solde.</w:t>
      </w:r>
    </w:p>
    <w:p w:rsidR="00DC32C9" w:rsidRPr="00C75820" w:rsidRDefault="00DC32C9" w:rsidP="00DC32C9">
      <w:pPr>
        <w:rPr>
          <w:rFonts w:cs="Arial"/>
          <w:sz w:val="10"/>
          <w:szCs w:val="10"/>
        </w:rPr>
      </w:pPr>
    </w:p>
    <w:p w:rsidR="00DC32C9" w:rsidRDefault="00DC32C9" w:rsidP="00DA780F">
      <w:pPr>
        <w:rPr>
          <w:rFonts w:cs="Arial"/>
          <w:szCs w:val="18"/>
        </w:rPr>
      </w:pPr>
      <w:r w:rsidRPr="005937C7">
        <w:rPr>
          <w:rFonts w:cs="Arial"/>
          <w:szCs w:val="18"/>
        </w:rPr>
        <w:t>En cas de marché confié à un groupement d’opérateurs pour lesquels les paiements sont effectués sur des comptes séparés, le mandataire devra indiquer au maître d’ouvrage la répartition des pénalités entre les membres du groupement. En l’attente de ces indications, les pénalités qui peuvent être appliquées seront retenues en totalité sur les sommes dues au mandataire du groupement.</w:t>
      </w:r>
    </w:p>
    <w:p w:rsidR="00DA780F" w:rsidRPr="00DA780F" w:rsidRDefault="00DA780F" w:rsidP="00DA780F">
      <w:pPr>
        <w:rPr>
          <w:rFonts w:cs="Arial"/>
          <w:szCs w:val="18"/>
        </w:rPr>
      </w:pPr>
    </w:p>
    <w:p w:rsidR="00F108DC" w:rsidRPr="0005345D" w:rsidRDefault="00F108DC" w:rsidP="00F108DC">
      <w:pPr>
        <w:pStyle w:val="Txttitre2"/>
        <w:spacing w:before="0" w:line="240" w:lineRule="auto"/>
        <w:ind w:left="0"/>
        <w:rPr>
          <w:rFonts w:ascii="Verdana" w:hAnsi="Verdana" w:cs="Arial"/>
          <w:sz w:val="16"/>
          <w:szCs w:val="16"/>
          <w:highlight w:val="yellow"/>
        </w:rPr>
      </w:pPr>
      <w:bookmarkStart w:id="288" w:name="_Toc374413891"/>
      <w:bookmarkEnd w:id="78"/>
      <w:bookmarkEnd w:id="79"/>
    </w:p>
    <w:p w:rsidR="0005345D" w:rsidRPr="009F4700" w:rsidRDefault="0082340C" w:rsidP="009F4700">
      <w:pPr>
        <w:pStyle w:val="TITRE100"/>
      </w:pPr>
      <w:bookmarkStart w:id="289" w:name="_Toc374413903"/>
      <w:bookmarkStart w:id="290" w:name="_Toc148502546"/>
      <w:bookmarkStart w:id="291" w:name="_Toc465261464"/>
      <w:bookmarkStart w:id="292" w:name="_Toc133586826"/>
      <w:bookmarkStart w:id="293" w:name="_Toc148692632"/>
      <w:bookmarkEnd w:id="288"/>
      <w:r w:rsidRPr="00980461">
        <w:t xml:space="preserve">ARTICLE </w:t>
      </w:r>
      <w:r w:rsidR="008B536B" w:rsidRPr="00980461">
        <w:t xml:space="preserve"> 1</w:t>
      </w:r>
      <w:r w:rsidR="00DC32C9">
        <w:t>2</w:t>
      </w:r>
      <w:r w:rsidR="008D550C" w:rsidRPr="00980461">
        <w:t xml:space="preserve"> </w:t>
      </w:r>
      <w:r w:rsidR="00DC32C9">
        <w:t>–</w:t>
      </w:r>
      <w:r w:rsidR="008D550C" w:rsidRPr="00980461">
        <w:t xml:space="preserve"> </w:t>
      </w:r>
      <w:bookmarkStart w:id="294" w:name="_Toc374413904"/>
      <w:bookmarkStart w:id="295" w:name="_Toc148502547"/>
      <w:bookmarkEnd w:id="289"/>
      <w:bookmarkEnd w:id="290"/>
      <w:bookmarkEnd w:id="291"/>
      <w:bookmarkEnd w:id="292"/>
      <w:r w:rsidR="00DC32C9">
        <w:t>DOCUMENTS A PRODUIRE EN COURS D’EXECUTION</w:t>
      </w:r>
      <w:bookmarkEnd w:id="293"/>
    </w:p>
    <w:p w:rsidR="00DC32C9" w:rsidRDefault="00DC32C9" w:rsidP="00DC32C9">
      <w:pPr>
        <w:pStyle w:val="Titre2"/>
      </w:pPr>
      <w:bookmarkStart w:id="296" w:name="_Toc119597430"/>
      <w:bookmarkStart w:id="297" w:name="_Toc148692633"/>
      <w:bookmarkStart w:id="298" w:name="_Toc374413907"/>
      <w:bookmarkStart w:id="299" w:name="_Toc148502550"/>
      <w:bookmarkStart w:id="300" w:name="_Toc465261468"/>
      <w:bookmarkStart w:id="301" w:name="_Toc133586085"/>
      <w:bookmarkStart w:id="302" w:name="_Toc133586581"/>
      <w:bookmarkStart w:id="303" w:name="_Toc133586660"/>
      <w:bookmarkStart w:id="304" w:name="_Toc133586830"/>
      <w:bookmarkEnd w:id="294"/>
      <w:bookmarkEnd w:id="295"/>
      <w:r>
        <w:t>12.1 Assurance</w:t>
      </w:r>
      <w:bookmarkEnd w:id="296"/>
      <w:bookmarkEnd w:id="297"/>
    </w:p>
    <w:p w:rsidR="00DC32C9" w:rsidRDefault="00DC32C9" w:rsidP="00DC32C9">
      <w:pPr>
        <w:pStyle w:val="Corpsdetexte"/>
      </w:pPr>
      <w:r>
        <w:rPr>
          <w:rFonts w:cs="Arial"/>
          <w:szCs w:val="18"/>
        </w:rPr>
        <w:t>Les stipulations de l’article 9 du CCAG-MOE s’appliquent pleinement.</w:t>
      </w:r>
    </w:p>
    <w:p w:rsidR="00DC32C9" w:rsidRDefault="00DC32C9" w:rsidP="00DC32C9">
      <w:pPr>
        <w:pStyle w:val="Titre2"/>
      </w:pPr>
      <w:bookmarkStart w:id="305" w:name="_Toc119597431"/>
      <w:bookmarkStart w:id="306" w:name="_Toc148692634"/>
      <w:r>
        <w:t>12.2 Justificatifs sociaux</w:t>
      </w:r>
      <w:bookmarkEnd w:id="305"/>
      <w:bookmarkEnd w:id="306"/>
      <w:r>
        <w:t xml:space="preserve">   </w:t>
      </w:r>
    </w:p>
    <w:p w:rsidR="00DC32C9" w:rsidRPr="006D4E4D" w:rsidRDefault="00DC32C9" w:rsidP="00DC32C9">
      <w:r>
        <w:rPr>
          <w:rFonts w:cs="Verdana"/>
          <w:b/>
          <w:szCs w:val="18"/>
        </w:rPr>
        <w:t xml:space="preserve">En application de </w:t>
      </w:r>
      <w:r>
        <w:rPr>
          <w:rFonts w:cs="Calibri"/>
          <w:bCs/>
          <w:iCs/>
          <w:szCs w:val="18"/>
        </w:rPr>
        <w:t>l’article R2143-8</w:t>
      </w:r>
      <w:r>
        <w:rPr>
          <w:rFonts w:cs="Calibri"/>
          <w:szCs w:val="18"/>
        </w:rPr>
        <w:t xml:space="preserve"> du Code de la Commande Publique</w:t>
      </w:r>
      <w:r>
        <w:rPr>
          <w:rFonts w:cs="Verdana"/>
          <w:b/>
          <w:szCs w:val="18"/>
        </w:rPr>
        <w:t xml:space="preserve"> le titulaire </w:t>
      </w:r>
      <w:r>
        <w:rPr>
          <w:rFonts w:cs="Verdana"/>
          <w:szCs w:val="18"/>
        </w:rPr>
        <w:t xml:space="preserve">produit, le cas échéant, les pièces prévues aux articles R. 1263-12, D. 8222-5 ou D. 8222-7 ou D. 8254-2 à D. 8254-5 du code du travail, </w:t>
      </w:r>
      <w:r>
        <w:rPr>
          <w:rFonts w:cs="Verdana"/>
          <w:b/>
          <w:szCs w:val="18"/>
        </w:rPr>
        <w:t>tous les six mois jusqu'à la fin de l’exécution du marché.</w:t>
      </w:r>
    </w:p>
    <w:p w:rsidR="00DC32C9" w:rsidRDefault="00DC32C9" w:rsidP="00DC32C9">
      <w:pPr>
        <w:pStyle w:val="Titre2"/>
      </w:pPr>
      <w:bookmarkStart w:id="307" w:name="_Toc119597432"/>
      <w:bookmarkStart w:id="308" w:name="_Toc148692635"/>
      <w:r>
        <w:t>12.3 Modifications relatives à la situation juridique ou économique au titulaire du marché</w:t>
      </w:r>
      <w:bookmarkEnd w:id="307"/>
      <w:bookmarkEnd w:id="308"/>
    </w:p>
    <w:p w:rsidR="00DC32C9" w:rsidRPr="007974C3" w:rsidRDefault="00DC32C9" w:rsidP="00DC32C9">
      <w:pPr>
        <w:pStyle w:val="NormalWeb"/>
        <w:spacing w:before="0" w:after="0"/>
      </w:pPr>
      <w:r w:rsidRPr="007974C3">
        <w:rPr>
          <w:rFonts w:ascii="Verdana" w:hAnsi="Verdana" w:cs="Verdana"/>
          <w:sz w:val="18"/>
          <w:szCs w:val="18"/>
        </w:rPr>
        <w:t xml:space="preserve">Le titulaire est tenu de </w:t>
      </w:r>
      <w:r w:rsidRPr="007974C3">
        <w:rPr>
          <w:rFonts w:ascii="Verdana" w:hAnsi="Verdana" w:cs="Verdana"/>
          <w:b/>
          <w:sz w:val="18"/>
          <w:szCs w:val="18"/>
        </w:rPr>
        <w:t>notifier sans délai</w:t>
      </w:r>
      <w:r w:rsidRPr="007974C3">
        <w:rPr>
          <w:rFonts w:ascii="Verdana" w:hAnsi="Verdana" w:cs="Verdana"/>
          <w:sz w:val="18"/>
          <w:szCs w:val="18"/>
        </w:rPr>
        <w:t xml:space="preserve"> à l'acheteur</w:t>
      </w:r>
      <w:r w:rsidRPr="007974C3">
        <w:t xml:space="preserve"> </w:t>
      </w:r>
      <w:r w:rsidRPr="007974C3">
        <w:rPr>
          <w:rFonts w:ascii="Verdana" w:hAnsi="Verdana" w:cs="Verdana"/>
          <w:sz w:val="18"/>
          <w:szCs w:val="18"/>
        </w:rPr>
        <w:t>(cf. article 6.6 du CCAP), les modifications survenant au cours de l'exécution du marché et qui se rapportent :</w:t>
      </w:r>
    </w:p>
    <w:p w:rsidR="00DC32C9" w:rsidRPr="00DC32C9" w:rsidRDefault="00DC32C9" w:rsidP="00DA780F">
      <w:pPr>
        <w:pStyle w:val="NormalWeb"/>
        <w:numPr>
          <w:ilvl w:val="0"/>
          <w:numId w:val="34"/>
        </w:numPr>
        <w:spacing w:before="0" w:after="0"/>
      </w:pPr>
      <w:r w:rsidRPr="007974C3">
        <w:rPr>
          <w:rFonts w:ascii="Verdana" w:hAnsi="Verdana" w:cs="Verdana"/>
          <w:sz w:val="18"/>
          <w:szCs w:val="18"/>
        </w:rPr>
        <w:t>aux personnes ayant le pouvoir de l'engager ;</w:t>
      </w:r>
    </w:p>
    <w:p w:rsidR="00DC32C9" w:rsidRPr="00DC32C9" w:rsidRDefault="00DC32C9" w:rsidP="00DA780F">
      <w:pPr>
        <w:pStyle w:val="NormalWeb"/>
        <w:numPr>
          <w:ilvl w:val="0"/>
          <w:numId w:val="34"/>
        </w:numPr>
        <w:spacing w:before="0" w:after="0"/>
      </w:pPr>
      <w:r w:rsidRPr="007974C3">
        <w:rPr>
          <w:rFonts w:ascii="Verdana" w:hAnsi="Verdana" w:cs="Verdana"/>
          <w:sz w:val="18"/>
          <w:szCs w:val="18"/>
        </w:rPr>
        <w:t>à la forme juridique sous laquelle il exerce son activité ;</w:t>
      </w:r>
    </w:p>
    <w:p w:rsidR="00DC32C9" w:rsidRPr="00DC32C9" w:rsidRDefault="00DC32C9" w:rsidP="00DA780F">
      <w:pPr>
        <w:pStyle w:val="NormalWeb"/>
        <w:numPr>
          <w:ilvl w:val="0"/>
          <w:numId w:val="34"/>
        </w:numPr>
        <w:spacing w:before="0" w:after="0"/>
      </w:pPr>
      <w:r w:rsidRPr="00DC32C9">
        <w:rPr>
          <w:rFonts w:ascii="Verdana" w:hAnsi="Verdana" w:cs="Verdana"/>
          <w:sz w:val="18"/>
          <w:szCs w:val="18"/>
        </w:rPr>
        <w:lastRenderedPageBreak/>
        <w:t>à sa raison sociale ou à sa dénomination</w:t>
      </w:r>
      <w:r>
        <w:rPr>
          <w:rFonts w:ascii="Verdana" w:hAnsi="Verdana" w:cs="Verdana"/>
          <w:sz w:val="18"/>
          <w:szCs w:val="18"/>
        </w:rPr>
        <w:t xml:space="preserve"> (</w:t>
      </w:r>
      <w:r w:rsidRPr="00DC32C9">
        <w:rPr>
          <w:rFonts w:ascii="Verdana" w:hAnsi="Verdana" w:cs="Arial"/>
          <w:i/>
          <w:sz w:val="16"/>
          <w:szCs w:val="16"/>
        </w:rPr>
        <w:t xml:space="preserve">fournir un extrait </w:t>
      </w:r>
      <w:proofErr w:type="spellStart"/>
      <w:r w:rsidRPr="00DC32C9">
        <w:rPr>
          <w:rFonts w:ascii="Verdana" w:hAnsi="Verdana" w:cs="Arial"/>
          <w:i/>
          <w:sz w:val="16"/>
          <w:szCs w:val="16"/>
        </w:rPr>
        <w:t>Kbis</w:t>
      </w:r>
      <w:proofErr w:type="spellEnd"/>
      <w:r w:rsidRPr="00DC32C9">
        <w:rPr>
          <w:rFonts w:ascii="Verdana" w:hAnsi="Verdana" w:cs="Arial"/>
          <w:i/>
          <w:sz w:val="16"/>
          <w:szCs w:val="16"/>
        </w:rPr>
        <w:t xml:space="preserve"> mentionnant ce changement (ainsi qu’un RIB le cas échéant</w:t>
      </w:r>
      <w:r w:rsidRPr="00DC32C9">
        <w:rPr>
          <w:rFonts w:ascii="Verdana" w:hAnsi="Verdana" w:cs="Arial"/>
          <w:i/>
          <w:sz w:val="18"/>
          <w:szCs w:val="18"/>
        </w:rPr>
        <w:t>).</w:t>
      </w:r>
    </w:p>
    <w:p w:rsidR="00DC32C9" w:rsidRPr="00DC32C9" w:rsidRDefault="00DC32C9" w:rsidP="00DA780F">
      <w:pPr>
        <w:pStyle w:val="NormalWeb"/>
        <w:numPr>
          <w:ilvl w:val="0"/>
          <w:numId w:val="34"/>
        </w:numPr>
        <w:spacing w:before="0" w:after="0"/>
      </w:pPr>
      <w:r w:rsidRPr="00DC32C9">
        <w:rPr>
          <w:rFonts w:ascii="Verdana" w:hAnsi="Verdana" w:cs="Verdana"/>
          <w:sz w:val="18"/>
          <w:szCs w:val="18"/>
        </w:rPr>
        <w:t>à son adresse ou à son siège social ;</w:t>
      </w:r>
    </w:p>
    <w:p w:rsidR="00DC32C9" w:rsidRPr="00DC32C9" w:rsidRDefault="00DC32C9" w:rsidP="00DA780F">
      <w:pPr>
        <w:pStyle w:val="NormalWeb"/>
        <w:numPr>
          <w:ilvl w:val="0"/>
          <w:numId w:val="34"/>
        </w:numPr>
        <w:spacing w:before="0" w:after="0"/>
      </w:pPr>
      <w:r w:rsidRPr="00DC32C9">
        <w:rPr>
          <w:rFonts w:ascii="Verdana" w:hAnsi="Verdana" w:cs="Verdana"/>
          <w:sz w:val="18"/>
          <w:szCs w:val="18"/>
        </w:rPr>
        <w:t>à ses coordonnées bancaires ;</w:t>
      </w:r>
    </w:p>
    <w:p w:rsidR="00DC32C9" w:rsidRPr="007974C3" w:rsidRDefault="00DC32C9" w:rsidP="00DA780F">
      <w:pPr>
        <w:pStyle w:val="NormalWeb"/>
        <w:numPr>
          <w:ilvl w:val="0"/>
          <w:numId w:val="34"/>
        </w:numPr>
        <w:spacing w:before="0" w:after="0"/>
      </w:pPr>
      <w:r w:rsidRPr="00DC32C9">
        <w:rPr>
          <w:rFonts w:ascii="Verdana" w:hAnsi="Verdana" w:cs="Verdana"/>
          <w:sz w:val="18"/>
          <w:szCs w:val="18"/>
        </w:rPr>
        <w:t>aux renseignements qu'il a fournis pour l'acceptation d'un sous-traitant et l'agrément de ses conditions de paiement.</w:t>
      </w:r>
    </w:p>
    <w:p w:rsidR="00DC32C9" w:rsidRDefault="00DC32C9" w:rsidP="00DC32C9">
      <w:pPr>
        <w:pStyle w:val="NormalWeb"/>
        <w:spacing w:before="0" w:after="0"/>
      </w:pPr>
      <w:r w:rsidRPr="007974C3">
        <w:rPr>
          <w:rFonts w:ascii="Verdana" w:hAnsi="Verdana" w:cs="Verdana"/>
          <w:sz w:val="18"/>
          <w:szCs w:val="18"/>
        </w:rPr>
        <w:br/>
        <w:t>De façon générale, le titulaire est tenu de notifier sans délai à l'acheteur toutes les modifications importantes concernant le fonctionnement de l'entreprise pouvant influer sur le déroulement du marché.</w:t>
      </w:r>
    </w:p>
    <w:p w:rsidR="00DC32C9" w:rsidRPr="00DA780F" w:rsidRDefault="00DC32C9" w:rsidP="00DC32C9">
      <w:pPr>
        <w:pStyle w:val="NormalWeb"/>
        <w:spacing w:before="0" w:after="0"/>
        <w:rPr>
          <w:rFonts w:ascii="Verdana" w:hAnsi="Verdana" w:cs="Verdana"/>
          <w:sz w:val="10"/>
          <w:szCs w:val="10"/>
          <w:highlight w:val="cyan"/>
        </w:rPr>
      </w:pPr>
    </w:p>
    <w:p w:rsidR="00DC32C9" w:rsidRPr="005937C7" w:rsidRDefault="00DC32C9" w:rsidP="00DC32C9">
      <w:pPr>
        <w:rPr>
          <w:szCs w:val="18"/>
        </w:rPr>
      </w:pPr>
      <w:r w:rsidRPr="005937C7">
        <w:rPr>
          <w:rFonts w:cs="Arial"/>
          <w:b/>
          <w:szCs w:val="18"/>
        </w:rPr>
        <w:t xml:space="preserve">En cas de nouvelle entreprise née de la fusion ou de l’absorption du titulaire : </w:t>
      </w:r>
      <w:r w:rsidRPr="005937C7">
        <w:rPr>
          <w:rFonts w:cs="Arial"/>
          <w:szCs w:val="18"/>
        </w:rPr>
        <w:t xml:space="preserve">Le transfert du marché à la société née de la fusion ou de l’absorption de l’entreprise titulaire ne peut s’opérer de plein droit sans agrément préalable d’AMU et constatées de manière expresse par le pouvoir adjudicateur (modification prévue à l’article </w:t>
      </w:r>
      <w:r w:rsidRPr="005937C7">
        <w:rPr>
          <w:rFonts w:cs="Calibri"/>
          <w:bCs/>
          <w:iCs/>
          <w:szCs w:val="18"/>
        </w:rPr>
        <w:t>R2194-6 du Code de la Commande Publique</w:t>
      </w:r>
      <w:r w:rsidRPr="005937C7">
        <w:rPr>
          <w:rFonts w:cs="Arial"/>
          <w:szCs w:val="18"/>
        </w:rPr>
        <w:t>, acte spécial signé).</w:t>
      </w:r>
    </w:p>
    <w:p w:rsidR="00DC32C9" w:rsidRPr="005937C7" w:rsidRDefault="00DC32C9" w:rsidP="00DC32C9">
      <w:pPr>
        <w:rPr>
          <w:szCs w:val="18"/>
        </w:rPr>
      </w:pPr>
      <w:r w:rsidRPr="005937C7">
        <w:rPr>
          <w:rFonts w:cs="Arial"/>
          <w:szCs w:val="18"/>
        </w:rPr>
        <w:t xml:space="preserve">Le titulaire doit en informer AMU dans les plus brefs délais et produire l’ensemble des documents et renseignements qui seront demandés par l’administration, concernant la nouvelle entreprise à qui le marché est cédé, notamment : copie de l’annonce légale, pouvoir de la personne habilitée à engager la société, RIB, extrait </w:t>
      </w:r>
      <w:proofErr w:type="spellStart"/>
      <w:r w:rsidRPr="005937C7">
        <w:rPr>
          <w:rFonts w:cs="Arial"/>
          <w:szCs w:val="18"/>
        </w:rPr>
        <w:t>Kbis</w:t>
      </w:r>
      <w:proofErr w:type="spellEnd"/>
      <w:r w:rsidRPr="005937C7">
        <w:rPr>
          <w:rFonts w:cs="Arial"/>
          <w:szCs w:val="18"/>
        </w:rPr>
        <w:t>, attestations fiscales et sociales, attestation sur l’honneur signée indiquant que le repreneur ne tombe pas sous le coup des interdictions de soumissionner, justifications de références identiques à celles demandées dans l’avis d’appel à la concurrence relatif au marché, etc.</w:t>
      </w:r>
    </w:p>
    <w:p w:rsidR="00DC32C9" w:rsidRDefault="00DC32C9" w:rsidP="00DC32C9">
      <w:pPr>
        <w:pStyle w:val="NormalWeb"/>
        <w:spacing w:before="0" w:after="0"/>
        <w:rPr>
          <w:rFonts w:ascii="Verdana" w:hAnsi="Verdana" w:cs="Verdana"/>
          <w:sz w:val="18"/>
          <w:szCs w:val="18"/>
        </w:rPr>
      </w:pPr>
    </w:p>
    <w:p w:rsidR="00DC32C9" w:rsidRDefault="00DC32C9" w:rsidP="00DC32C9">
      <w:pPr>
        <w:pStyle w:val="TITRE100"/>
      </w:pPr>
      <w:bookmarkStart w:id="309" w:name="_Toc119597433"/>
      <w:bookmarkStart w:id="310" w:name="_Toc148692636"/>
      <w:r>
        <w:t>ARTICLE 13 : CO-TRAITANCE ET SOUS TRAITANCE</w:t>
      </w:r>
      <w:bookmarkEnd w:id="309"/>
      <w:bookmarkEnd w:id="310"/>
    </w:p>
    <w:p w:rsidR="00DC32C9" w:rsidRDefault="00DC32C9" w:rsidP="00DC32C9">
      <w:pPr>
        <w:pStyle w:val="Titre2"/>
      </w:pPr>
      <w:bookmarkStart w:id="311" w:name="_Toc119597434"/>
      <w:bookmarkStart w:id="312" w:name="_Toc148692637"/>
      <w:r>
        <w:t>13.1 Sous-traitance</w:t>
      </w:r>
      <w:bookmarkEnd w:id="311"/>
      <w:bookmarkEnd w:id="312"/>
      <w:r>
        <w:t> </w:t>
      </w:r>
    </w:p>
    <w:p w:rsidR="00DC32C9" w:rsidRPr="003F015F" w:rsidRDefault="00DC32C9" w:rsidP="00DC32C9">
      <w:pPr>
        <w:ind w:firstLine="708"/>
        <w:rPr>
          <w:i/>
          <w:u w:val="single"/>
        </w:rPr>
      </w:pPr>
      <w:bookmarkStart w:id="313" w:name="_Toc119597435"/>
      <w:r w:rsidRPr="003F015F">
        <w:rPr>
          <w:i/>
          <w:u w:val="single"/>
        </w:rPr>
        <w:t>13.1.1 Généralité</w:t>
      </w:r>
      <w:bookmarkEnd w:id="313"/>
      <w:r w:rsidRPr="003F015F">
        <w:rPr>
          <w:i/>
          <w:u w:val="single"/>
        </w:rPr>
        <w:t>s</w:t>
      </w:r>
    </w:p>
    <w:p w:rsidR="00DC32C9" w:rsidRDefault="00DC32C9" w:rsidP="00DC32C9">
      <w:r>
        <w:rPr>
          <w:rFonts w:eastAsia="Batang" w:cs="Arial"/>
          <w:szCs w:val="18"/>
          <w:lang w:eastAsia="en-US"/>
        </w:rPr>
        <w:t xml:space="preserve">Si le titulaire envisage de confier au cours de l’accord-cadre et de marchés subséquents l’exécution de certaines prestations à un ou à plusieurs sous-traitants, celui-ci </w:t>
      </w:r>
      <w:r>
        <w:rPr>
          <w:rFonts w:cs="Verdana"/>
          <w:szCs w:val="18"/>
        </w:rPr>
        <w:t xml:space="preserve">doit obtenir préalablement à toute intervention du sous-traitant, </w:t>
      </w:r>
      <w:r>
        <w:rPr>
          <w:rFonts w:eastAsia="Batang" w:cs="Arial"/>
          <w:b/>
          <w:szCs w:val="18"/>
          <w:lang w:eastAsia="en-US"/>
        </w:rPr>
        <w:t xml:space="preserve">l’acceptation de chaque sous-traitant et l’agrément de leurs conditions de paiement </w:t>
      </w:r>
      <w:r>
        <w:rPr>
          <w:rFonts w:cs="Verdana"/>
          <w:szCs w:val="18"/>
        </w:rPr>
        <w:t>par le pouvoir adjudicateur</w:t>
      </w:r>
      <w:r>
        <w:rPr>
          <w:rFonts w:eastAsia="Batang" w:cs="Arial"/>
          <w:szCs w:val="18"/>
          <w:lang w:eastAsia="en-US"/>
        </w:rPr>
        <w:t xml:space="preserve"> (utilisation recommandée du formulaire </w:t>
      </w:r>
      <w:r>
        <w:rPr>
          <w:rFonts w:eastAsia="Batang" w:cs="Arial"/>
          <w:b/>
          <w:i/>
          <w:szCs w:val="18"/>
        </w:rPr>
        <w:t xml:space="preserve">DC4 </w:t>
      </w:r>
      <w:r>
        <w:rPr>
          <w:rFonts w:eastAsia="Batang" w:cs="Arial"/>
          <w:b/>
          <w:bCs/>
          <w:i/>
          <w:szCs w:val="18"/>
        </w:rPr>
        <w:t>« Déclaration de sous-traitance »</w:t>
      </w:r>
      <w:r>
        <w:rPr>
          <w:rFonts w:eastAsia="Batang" w:cs="Arial"/>
          <w:b/>
          <w:szCs w:val="18"/>
          <w:lang w:eastAsia="en-US"/>
        </w:rPr>
        <w:t>)</w:t>
      </w:r>
      <w:r>
        <w:rPr>
          <w:rFonts w:eastAsia="Batang" w:cs="Arial"/>
          <w:szCs w:val="18"/>
          <w:lang w:eastAsia="en-US"/>
        </w:rPr>
        <w:t xml:space="preserve">. </w:t>
      </w:r>
    </w:p>
    <w:p w:rsidR="00DC32C9" w:rsidRDefault="00DC32C9" w:rsidP="00DC32C9">
      <w:pPr>
        <w:tabs>
          <w:tab w:val="left" w:pos="2410"/>
          <w:tab w:val="left" w:pos="2977"/>
          <w:tab w:val="left" w:pos="4536"/>
          <w:tab w:val="left" w:pos="5812"/>
        </w:tabs>
        <w:rPr>
          <w:rFonts w:eastAsia="Batang" w:cs="Arial"/>
          <w:b/>
          <w:bCs/>
          <w:i/>
          <w:sz w:val="8"/>
          <w:szCs w:val="8"/>
          <w:highlight w:val="lightGray"/>
          <w:u w:val="single"/>
        </w:rPr>
      </w:pPr>
    </w:p>
    <w:p w:rsidR="00DC32C9" w:rsidRPr="00081270" w:rsidRDefault="00DC32C9" w:rsidP="00DC32C9">
      <w:pPr>
        <w:pStyle w:val="Corpsdetexte"/>
      </w:pPr>
      <w:r>
        <w:rPr>
          <w:rFonts w:eastAsia="Century Gothic" w:cs="Verdana"/>
          <w:szCs w:val="18"/>
        </w:rPr>
        <w:t xml:space="preserve">La déclaration de sous-traitance sera signée par la personne </w:t>
      </w:r>
      <w:r>
        <w:rPr>
          <w:rFonts w:eastAsia="Century Gothic" w:cs="Verdana"/>
          <w:b/>
          <w:szCs w:val="18"/>
        </w:rPr>
        <w:t>habilitée à engager le titulaire</w:t>
      </w:r>
      <w:r>
        <w:rPr>
          <w:rFonts w:eastAsia="Century Gothic" w:cs="Verdana"/>
          <w:szCs w:val="18"/>
        </w:rPr>
        <w:t>. Elle sera accompagnée d</w:t>
      </w:r>
      <w:r>
        <w:rPr>
          <w:rFonts w:eastAsia="Century Gothic" w:cs="Verdana"/>
          <w:b/>
          <w:szCs w:val="18"/>
        </w:rPr>
        <w:t>e documents permettant d’apprécier les capacités professionnelles, techniques et financières de la société</w:t>
      </w:r>
      <w:r>
        <w:rPr>
          <w:rFonts w:eastAsia="Century Gothic" w:cs="Verdana"/>
          <w:szCs w:val="18"/>
        </w:rPr>
        <w:t xml:space="preserve"> présentée pour la réalisation des prestations sous-traitée (comme par exemple une liste de référence, des certificats de capacités professionnelle, le </w:t>
      </w:r>
      <w:r>
        <w:rPr>
          <w:rFonts w:cs="Arial"/>
          <w:bCs/>
          <w:szCs w:val="18"/>
        </w:rPr>
        <w:t xml:space="preserve">chiffre d’affaires global annuel, les moyens humains, </w:t>
      </w:r>
      <w:r>
        <w:rPr>
          <w:rFonts w:eastAsia="Century Gothic" w:cs="Verdana"/>
          <w:szCs w:val="18"/>
        </w:rPr>
        <w:t xml:space="preserve">techniques ou matériels, etc.). </w:t>
      </w:r>
      <w:r>
        <w:rPr>
          <w:rFonts w:eastAsia="Batang" w:cs="Arial"/>
          <w:szCs w:val="18"/>
        </w:rPr>
        <w:t xml:space="preserve">l’ensemble des éléments nécessaires à remettre à </w:t>
      </w:r>
      <w:r>
        <w:rPr>
          <w:rFonts w:eastAsia="Batang" w:cs="Arial"/>
          <w:szCs w:val="18"/>
          <w:lang w:eastAsia="en-US"/>
        </w:rPr>
        <w:t>l’appui de la demande de sous-traitance</w:t>
      </w:r>
      <w:r>
        <w:rPr>
          <w:rFonts w:eastAsia="Batang" w:cs="Arial"/>
          <w:szCs w:val="18"/>
        </w:rPr>
        <w:t xml:space="preserve"> sont mentionnés à </w:t>
      </w:r>
      <w:r>
        <w:rPr>
          <w:rFonts w:cs="Arial"/>
          <w:szCs w:val="18"/>
        </w:rPr>
        <w:t xml:space="preserve">l’article </w:t>
      </w:r>
      <w:r>
        <w:rPr>
          <w:rFonts w:cs="Calibri"/>
          <w:bCs/>
          <w:iCs/>
          <w:szCs w:val="18"/>
        </w:rPr>
        <w:t>R2193-3 du Code de la Commande Publique</w:t>
      </w:r>
    </w:p>
    <w:p w:rsidR="00DC32C9" w:rsidRPr="00DA780F" w:rsidRDefault="00DC32C9" w:rsidP="00DC32C9">
      <w:pPr>
        <w:tabs>
          <w:tab w:val="left" w:pos="2410"/>
          <w:tab w:val="left" w:pos="2977"/>
          <w:tab w:val="left" w:pos="4536"/>
          <w:tab w:val="left" w:pos="5812"/>
        </w:tabs>
        <w:rPr>
          <w:rFonts w:eastAsia="Batang" w:cs="Arial"/>
          <w:bCs/>
          <w:i/>
          <w:sz w:val="10"/>
          <w:szCs w:val="10"/>
          <w:highlight w:val="lightGray"/>
        </w:rPr>
      </w:pPr>
    </w:p>
    <w:p w:rsidR="00DC32C9" w:rsidRPr="007974C3" w:rsidRDefault="00DC32C9" w:rsidP="00DC32C9">
      <w:r>
        <w:rPr>
          <w:rFonts w:eastAsia="Century Gothic" w:cs="Verdana"/>
          <w:szCs w:val="18"/>
        </w:rPr>
        <w:t>Le titulaire présentant un sous-traitant pendant l’exécution du marché, envoie la Déclaration de sous-traitance en originale ainsi que l’ensemble des documents permettant d’apprécier les capacités du sous-</w:t>
      </w:r>
      <w:r w:rsidRPr="007974C3">
        <w:rPr>
          <w:rFonts w:eastAsia="Century Gothic" w:cs="Verdana"/>
          <w:szCs w:val="18"/>
        </w:rPr>
        <w:t>traitant par tout moyen permettant d’en assurer la réception et d’en déterminer la date ou la dépose auprès de l’administration contre récépissé à l’adresse suivante :</w:t>
      </w:r>
    </w:p>
    <w:p w:rsidR="00DC32C9" w:rsidRPr="007974C3" w:rsidRDefault="00DC32C9" w:rsidP="00DC32C9">
      <w:pPr>
        <w:rPr>
          <w:rFonts w:eastAsia="Century Gothic" w:cs="Verdana"/>
          <w:szCs w:val="18"/>
        </w:rPr>
      </w:pPr>
    </w:p>
    <w:p w:rsidR="00DC32C9" w:rsidRPr="007974C3" w:rsidRDefault="00DC32C9" w:rsidP="00DC32C9">
      <w:pPr>
        <w:jc w:val="center"/>
      </w:pPr>
      <w:r w:rsidRPr="007974C3">
        <w:rPr>
          <w:rFonts w:eastAsia="Century Gothic" w:cs="Verdana"/>
          <w:b/>
          <w:szCs w:val="18"/>
        </w:rPr>
        <w:t>Aix-Marseille Université</w:t>
      </w:r>
    </w:p>
    <w:p w:rsidR="00DC32C9" w:rsidRPr="007974C3" w:rsidRDefault="00DC32C9" w:rsidP="00DC32C9">
      <w:pPr>
        <w:jc w:val="center"/>
      </w:pPr>
      <w:r w:rsidRPr="007974C3">
        <w:rPr>
          <w:rFonts w:eastAsia="Century Gothic" w:cs="Verdana"/>
          <w:b/>
          <w:szCs w:val="18"/>
        </w:rPr>
        <w:t>Direction de la commande publique – PMP</w:t>
      </w:r>
    </w:p>
    <w:p w:rsidR="00DC32C9" w:rsidRPr="007974C3" w:rsidRDefault="00DC32C9" w:rsidP="00DC32C9">
      <w:pPr>
        <w:jc w:val="center"/>
      </w:pPr>
      <w:r w:rsidRPr="007974C3">
        <w:rPr>
          <w:rFonts w:eastAsia="Century Gothic" w:cs="Verdana"/>
          <w:b/>
          <w:szCs w:val="18"/>
        </w:rPr>
        <w:t>58, bd Charles Livon</w:t>
      </w:r>
    </w:p>
    <w:p w:rsidR="00DC32C9" w:rsidRPr="007974C3" w:rsidRDefault="00DC32C9" w:rsidP="00DC32C9">
      <w:pPr>
        <w:jc w:val="center"/>
      </w:pPr>
      <w:r w:rsidRPr="007974C3">
        <w:rPr>
          <w:rFonts w:eastAsia="Century Gothic" w:cs="Verdana"/>
          <w:b/>
          <w:szCs w:val="18"/>
        </w:rPr>
        <w:t>13284 Marseille Cedex 07</w:t>
      </w:r>
    </w:p>
    <w:p w:rsidR="00DC32C9" w:rsidRDefault="00DC32C9" w:rsidP="00DC32C9">
      <w:pPr>
        <w:jc w:val="center"/>
        <w:rPr>
          <w:rFonts w:eastAsia="Century Gothic" w:cs="Verdana"/>
          <w:b/>
          <w:color w:val="00B0F0"/>
          <w:szCs w:val="18"/>
        </w:rPr>
      </w:pPr>
    </w:p>
    <w:p w:rsidR="00DC32C9" w:rsidRPr="006D4E4D" w:rsidRDefault="00DC32C9" w:rsidP="009A0790">
      <w:pPr>
        <w:pBdr>
          <w:top w:val="single" w:sz="4" w:space="1" w:color="auto"/>
          <w:left w:val="single" w:sz="4" w:space="4" w:color="auto"/>
          <w:bottom w:val="single" w:sz="4" w:space="1" w:color="auto"/>
          <w:right w:val="single" w:sz="4" w:space="4" w:color="auto"/>
        </w:pBdr>
      </w:pPr>
      <w:r w:rsidRPr="00C360F9">
        <w:rPr>
          <w:rFonts w:eastAsia="Century Gothic" w:cs="Verdana"/>
          <w:b/>
          <w:szCs w:val="18"/>
          <w:u w:val="single"/>
        </w:rPr>
        <w:t>Une copie</w:t>
      </w:r>
      <w:r w:rsidRPr="00C360F9">
        <w:rPr>
          <w:rFonts w:eastAsia="Century Gothic" w:cs="Verdana"/>
          <w:b/>
          <w:szCs w:val="18"/>
        </w:rPr>
        <w:t xml:space="preserve"> de la déclaration de sous-traitance signée (DC4) et des documents permettant </w:t>
      </w:r>
      <w:r w:rsidRPr="006D4E4D">
        <w:rPr>
          <w:rFonts w:eastAsia="Century Gothic" w:cs="Verdana"/>
          <w:b/>
          <w:szCs w:val="18"/>
        </w:rPr>
        <w:t xml:space="preserve">d’apprécier </w:t>
      </w:r>
      <w:r w:rsidRPr="006D4E4D">
        <w:rPr>
          <w:rFonts w:eastAsia="Century Gothic" w:cs="Verdana"/>
          <w:szCs w:val="18"/>
          <w:u w:val="single"/>
        </w:rPr>
        <w:t xml:space="preserve">les capacités du sous-traitant </w:t>
      </w:r>
      <w:r w:rsidRPr="006D4E4D">
        <w:rPr>
          <w:rFonts w:eastAsia="Century Gothic" w:cs="Verdana"/>
          <w:szCs w:val="18"/>
        </w:rPr>
        <w:t xml:space="preserve">est envoyée parallèlement par courrier électronique au chargé d’opération AMU : </w:t>
      </w:r>
      <w:r w:rsidR="006D4E4D" w:rsidRPr="006D4E4D">
        <w:rPr>
          <w:rFonts w:eastAsia="Century Gothic" w:cs="Verdana"/>
          <w:szCs w:val="18"/>
        </w:rPr>
        <w:t>Emilien ROUSSET – emilien.rousset@univ-amu.fr</w:t>
      </w:r>
    </w:p>
    <w:p w:rsidR="00DC32C9" w:rsidRDefault="00DC32C9" w:rsidP="00DC32C9">
      <w:pPr>
        <w:ind w:left="720"/>
        <w:rPr>
          <w:szCs w:val="18"/>
        </w:rPr>
      </w:pPr>
    </w:p>
    <w:p w:rsidR="006D4E4D" w:rsidRPr="006D4E4D" w:rsidRDefault="006D4E4D" w:rsidP="009A0790">
      <w:pPr>
        <w:pBdr>
          <w:top w:val="single" w:sz="4" w:space="1" w:color="auto"/>
          <w:left w:val="single" w:sz="4" w:space="4" w:color="auto"/>
          <w:bottom w:val="single" w:sz="4" w:space="1" w:color="auto"/>
          <w:right w:val="single" w:sz="4" w:space="4" w:color="auto"/>
        </w:pBdr>
        <w:spacing w:after="120" w:line="264" w:lineRule="auto"/>
        <w:contextualSpacing/>
        <w:rPr>
          <w:rFonts w:eastAsia="Century Gothic" w:cs="Verdana"/>
          <w:szCs w:val="18"/>
        </w:rPr>
      </w:pPr>
      <w:r w:rsidRPr="006D4E4D">
        <w:rPr>
          <w:szCs w:val="18"/>
        </w:rPr>
        <w:t xml:space="preserve">En cas de </w:t>
      </w:r>
      <w:r w:rsidRPr="006D4E4D">
        <w:rPr>
          <w:b/>
          <w:szCs w:val="18"/>
        </w:rPr>
        <w:t>signature électronique du DC4</w:t>
      </w:r>
      <w:r w:rsidRPr="006D4E4D">
        <w:rPr>
          <w:szCs w:val="18"/>
        </w:rPr>
        <w:t xml:space="preserve"> l’ensemble des documents mentionnés ci-dessus pourront être envoyé par voie électronique </w:t>
      </w:r>
      <w:r w:rsidRPr="006D4E4D">
        <w:rPr>
          <w:rFonts w:eastAsia="Century Gothic" w:cs="Verdana"/>
          <w:szCs w:val="18"/>
        </w:rPr>
        <w:t xml:space="preserve">au chargé d’opération AMU : Emilien ROUSSET – </w:t>
      </w:r>
      <w:hyperlink r:id="rId18" w:history="1">
        <w:r w:rsidRPr="006D4E4D">
          <w:rPr>
            <w:rStyle w:val="Lienhypertexte"/>
            <w:rFonts w:eastAsia="Century Gothic" w:cs="Verdana"/>
            <w:color w:val="auto"/>
            <w:szCs w:val="18"/>
          </w:rPr>
          <w:t>emilien.rousset@univ-amu.fr</w:t>
        </w:r>
      </w:hyperlink>
    </w:p>
    <w:p w:rsidR="006D4E4D" w:rsidRPr="00DA780F" w:rsidRDefault="006D4E4D" w:rsidP="00DC32C9">
      <w:pPr>
        <w:pStyle w:val="Corpsdetexte"/>
        <w:rPr>
          <w:rFonts w:cs="Arial"/>
          <w:sz w:val="10"/>
          <w:szCs w:val="10"/>
        </w:rPr>
      </w:pPr>
    </w:p>
    <w:p w:rsidR="00DC32C9" w:rsidRPr="00DC32C9" w:rsidRDefault="00DC32C9" w:rsidP="00DC32C9">
      <w:pPr>
        <w:pStyle w:val="Corpsdetexte"/>
        <w:rPr>
          <w:rFonts w:cs="Arial"/>
          <w:szCs w:val="18"/>
        </w:rPr>
      </w:pPr>
      <w:r w:rsidRPr="00DC32C9">
        <w:rPr>
          <w:rFonts w:cs="Arial"/>
          <w:szCs w:val="18"/>
        </w:rPr>
        <w:t xml:space="preserve">Les mentions suivantes </w:t>
      </w:r>
      <w:r w:rsidRPr="00DC32C9">
        <w:rPr>
          <w:rFonts w:cs="Arial"/>
          <w:szCs w:val="18"/>
          <w:u w:val="single"/>
        </w:rPr>
        <w:t xml:space="preserve">doivent obligatoirement </w:t>
      </w:r>
      <w:r w:rsidRPr="00DC32C9">
        <w:rPr>
          <w:rFonts w:cs="Arial"/>
          <w:szCs w:val="18"/>
        </w:rPr>
        <w:t>apparaitre sur le formulaire de demande d’agrément de sous-traitance :</w:t>
      </w:r>
    </w:p>
    <w:p w:rsidR="00DC32C9" w:rsidRPr="00DC32C9" w:rsidRDefault="00DC32C9" w:rsidP="008F2B6A">
      <w:pPr>
        <w:pStyle w:val="Corpsdetexte"/>
        <w:numPr>
          <w:ilvl w:val="0"/>
          <w:numId w:val="27"/>
        </w:numPr>
        <w:suppressAutoHyphens/>
        <w:rPr>
          <w:rFonts w:cs="Arial"/>
          <w:szCs w:val="18"/>
        </w:rPr>
      </w:pPr>
      <w:r w:rsidRPr="00DC32C9">
        <w:rPr>
          <w:rFonts w:cs="Arial"/>
          <w:szCs w:val="18"/>
        </w:rPr>
        <w:t>Le numéro de procédure AMU96-2023,</w:t>
      </w:r>
    </w:p>
    <w:p w:rsidR="00DC32C9" w:rsidRPr="00DC32C9" w:rsidRDefault="00DC32C9" w:rsidP="008F2B6A">
      <w:pPr>
        <w:pStyle w:val="Corpsdetexte"/>
        <w:numPr>
          <w:ilvl w:val="0"/>
          <w:numId w:val="27"/>
        </w:numPr>
        <w:suppressAutoHyphens/>
        <w:rPr>
          <w:rFonts w:cs="Arial"/>
          <w:szCs w:val="18"/>
        </w:rPr>
      </w:pPr>
      <w:r w:rsidRPr="00DC32C9">
        <w:rPr>
          <w:rFonts w:cs="Arial"/>
          <w:szCs w:val="18"/>
        </w:rPr>
        <w:t>Le numéro de marché indiqué sur l’acte d’engagement de l’accord-cadre,</w:t>
      </w:r>
    </w:p>
    <w:p w:rsidR="00DC32C9" w:rsidRPr="00DC32C9" w:rsidRDefault="00DC32C9" w:rsidP="008F2B6A">
      <w:pPr>
        <w:pStyle w:val="Corpsdetexte"/>
        <w:numPr>
          <w:ilvl w:val="0"/>
          <w:numId w:val="27"/>
        </w:numPr>
        <w:suppressAutoHyphens/>
        <w:rPr>
          <w:rFonts w:cs="Arial"/>
          <w:szCs w:val="18"/>
        </w:rPr>
      </w:pPr>
      <w:r w:rsidRPr="00DC32C9">
        <w:rPr>
          <w:rFonts w:cs="Arial"/>
          <w:szCs w:val="18"/>
        </w:rPr>
        <w:t>Le numéro du marché subséquent.</w:t>
      </w:r>
    </w:p>
    <w:p w:rsidR="00DC32C9" w:rsidRPr="00DA780F" w:rsidRDefault="00DC32C9" w:rsidP="00DC32C9">
      <w:pPr>
        <w:pStyle w:val="Corpsdetexte"/>
        <w:rPr>
          <w:rFonts w:cs="Arial"/>
          <w:sz w:val="10"/>
          <w:szCs w:val="10"/>
        </w:rPr>
      </w:pPr>
    </w:p>
    <w:p w:rsidR="00DC32C9" w:rsidRDefault="00DC32C9" w:rsidP="00DC32C9">
      <w:pPr>
        <w:pStyle w:val="Corpsdetexte"/>
      </w:pPr>
      <w:r>
        <w:rPr>
          <w:rFonts w:cs="Arial"/>
          <w:szCs w:val="18"/>
        </w:rPr>
        <w:t xml:space="preserve">La sous-traitance est prévue conformément aux dispositions des articles </w:t>
      </w:r>
      <w:r>
        <w:rPr>
          <w:rFonts w:cs="Calibri"/>
          <w:bCs/>
          <w:iCs/>
          <w:szCs w:val="18"/>
        </w:rPr>
        <w:t>R2193-3 à R2193-122 du Code de la Commande Publique</w:t>
      </w:r>
      <w:r>
        <w:rPr>
          <w:rFonts w:eastAsia="Batang" w:cs="Arial"/>
          <w:szCs w:val="18"/>
        </w:rPr>
        <w:t xml:space="preserve">. </w:t>
      </w:r>
      <w:r>
        <w:rPr>
          <w:rFonts w:cs="Arial"/>
          <w:b/>
          <w:szCs w:val="18"/>
        </w:rPr>
        <w:t>La sous-traitance de la totalité du marché est interdite</w:t>
      </w:r>
      <w:r>
        <w:rPr>
          <w:rFonts w:cs="Arial"/>
          <w:szCs w:val="18"/>
        </w:rPr>
        <w:t>.</w:t>
      </w:r>
    </w:p>
    <w:p w:rsidR="00DC32C9" w:rsidRDefault="00DC32C9" w:rsidP="00DC32C9">
      <w:r>
        <w:rPr>
          <w:rFonts w:cs="Arial"/>
          <w:szCs w:val="18"/>
        </w:rPr>
        <w:t xml:space="preserve">Le recours à un intervenant extérieur par le titulaire ne peut donner lieu à une modification </w:t>
      </w:r>
      <w:r w:rsidRPr="00A33CBD">
        <w:rPr>
          <w:rFonts w:cs="Arial"/>
          <w:szCs w:val="18"/>
        </w:rPr>
        <w:t>des taux d’honoraires</w:t>
      </w:r>
      <w:r>
        <w:rPr>
          <w:rFonts w:cs="Arial"/>
          <w:szCs w:val="18"/>
        </w:rPr>
        <w:t xml:space="preserve"> appliqués.</w:t>
      </w:r>
    </w:p>
    <w:p w:rsidR="00DC32C9" w:rsidRDefault="00DC32C9" w:rsidP="00DC32C9">
      <w:pPr>
        <w:rPr>
          <w:rFonts w:cs="Arial"/>
          <w:szCs w:val="18"/>
        </w:rPr>
      </w:pPr>
    </w:p>
    <w:p w:rsidR="00DC32C9" w:rsidRPr="003F015F" w:rsidRDefault="00DC32C9" w:rsidP="00DC32C9">
      <w:pPr>
        <w:ind w:firstLine="708"/>
        <w:rPr>
          <w:i/>
          <w:u w:val="single"/>
        </w:rPr>
      </w:pPr>
      <w:bookmarkStart w:id="314" w:name="_Toc119597436"/>
      <w:r w:rsidRPr="003F015F">
        <w:rPr>
          <w:i/>
          <w:u w:val="single"/>
        </w:rPr>
        <w:t>13.1.2 Modalités de paiement direct</w:t>
      </w:r>
      <w:bookmarkEnd w:id="314"/>
    </w:p>
    <w:p w:rsidR="00DC32C9" w:rsidRDefault="00DC32C9" w:rsidP="00DC32C9">
      <w:pPr>
        <w:tabs>
          <w:tab w:val="left" w:pos="2410"/>
          <w:tab w:val="left" w:pos="2977"/>
          <w:tab w:val="left" w:pos="4536"/>
          <w:tab w:val="left" w:pos="5812"/>
        </w:tabs>
      </w:pPr>
      <w:r>
        <w:rPr>
          <w:rFonts w:cs="Verdana"/>
          <w:szCs w:val="18"/>
        </w:rPr>
        <w:lastRenderedPageBreak/>
        <w:t>Si le sous-traitant remplit les conditions</w:t>
      </w:r>
      <w:r>
        <w:rPr>
          <w:rFonts w:eastAsia="Batang" w:cs="Arial"/>
          <w:szCs w:val="18"/>
        </w:rPr>
        <w:t xml:space="preserve"> mentionnées à l’article </w:t>
      </w:r>
      <w:r>
        <w:rPr>
          <w:rFonts w:cs="Calibri"/>
          <w:bCs/>
          <w:iCs/>
          <w:szCs w:val="18"/>
        </w:rPr>
        <w:t>R2193-3 du Code de la Commande Publique</w:t>
      </w:r>
      <w:r>
        <w:rPr>
          <w:rFonts w:cs="Verdana"/>
          <w:szCs w:val="18"/>
        </w:rPr>
        <w:t>, le sous-traitant adresse sa demande de paiement au titulaire du marché, par tout moyen permettant d’en assurer la réception et d’en déterminer la date ou la dépose auprès du titulaire contre récépissé.</w:t>
      </w:r>
    </w:p>
    <w:p w:rsidR="00DC32C9" w:rsidRDefault="00DC32C9" w:rsidP="00DC32C9">
      <w:r>
        <w:rPr>
          <w:rFonts w:cs="Verdana"/>
          <w:szCs w:val="18"/>
        </w:rPr>
        <w:t>Le titulaire dispose d'un délai de quinze (15) jours à compter de de la date de réception ou du récépissé pour donner son accord ou notifier son refus, d'une part, au sous-traitant et, d'autre part, à l’acheteur.</w:t>
      </w:r>
    </w:p>
    <w:p w:rsidR="00DC32C9" w:rsidRDefault="00DC32C9" w:rsidP="00DC32C9">
      <w:pPr>
        <w:spacing w:before="120"/>
      </w:pPr>
      <w:r>
        <w:rPr>
          <w:rFonts w:cs="Verdana"/>
          <w:szCs w:val="18"/>
        </w:rPr>
        <w:t>Le sous-traitant adresse également sa demande de paiement à l’acheteur accompagnée des factures et de la preuve que le titulaire a bien reçu la demande ou de l'avis postal attestant que le pli a été refusé ou n'a pas été réclamé.</w:t>
      </w:r>
    </w:p>
    <w:p w:rsidR="00DC32C9" w:rsidRDefault="00DC32C9" w:rsidP="00DC32C9">
      <w:pPr>
        <w:spacing w:before="120"/>
      </w:pPr>
      <w:r>
        <w:rPr>
          <w:rFonts w:cs="Verdana"/>
          <w:szCs w:val="18"/>
        </w:rPr>
        <w:t>L’acheteur adresse au titulaire une copie des factures produites par le sous-traitant.</w:t>
      </w:r>
    </w:p>
    <w:p w:rsidR="00DC32C9" w:rsidRPr="001747C2" w:rsidRDefault="00DC32C9" w:rsidP="00DC32C9">
      <w:r w:rsidRPr="001747C2">
        <w:rPr>
          <w:rFonts w:cs="Verdana"/>
          <w:szCs w:val="18"/>
        </w:rPr>
        <w:t>Remarque : lorsque le sous-traitant utilise le portail de facturation Chorus Pro, il y dépose sa demande de paiement sans autre formalité. Le titulaire dispose de quinze jours à compter de ce dépôt pour accepter ou refuser la demande de paiement sur le portail de facturation.</w:t>
      </w:r>
    </w:p>
    <w:p w:rsidR="00DC32C9" w:rsidRDefault="00DC32C9" w:rsidP="00DC32C9">
      <w:pPr>
        <w:spacing w:before="120"/>
      </w:pPr>
      <w:r>
        <w:rPr>
          <w:rFonts w:cs="Verdana"/>
          <w:szCs w:val="18"/>
        </w:rPr>
        <w:t>L’acheteur procède au paiement du sous-traitant dans le délai prévu à l’article 10.3 du CCAP. Ce délai court à compter de la réception par l’acheteur de l'accord du titulaire sur le paiement demandé, ou de l'expiration du délai mentionné au deuxième alinéa si, pendant ce délai, le titulaire n'a notifié aucun accord ni aucun refus, ou encore de la réception par le pouvoir adjudicateur de l'avis postal mentionné au troisième paragraphe ci-dessus.</w:t>
      </w:r>
    </w:p>
    <w:p w:rsidR="00DC32C9" w:rsidRDefault="00DC32C9" w:rsidP="00DC32C9">
      <w:pPr>
        <w:spacing w:before="120"/>
      </w:pPr>
      <w:r>
        <w:rPr>
          <w:rFonts w:cs="Verdana"/>
          <w:szCs w:val="18"/>
        </w:rPr>
        <w:t>Le pouvoir adjudicateur informe le titulaire des paiements qu'il effectue au sous-traitant.</w:t>
      </w:r>
    </w:p>
    <w:p w:rsidR="00DC32C9" w:rsidRDefault="00DC32C9" w:rsidP="00DC32C9">
      <w:r>
        <w:rPr>
          <w:rFonts w:cs="Verdana"/>
          <w:szCs w:val="18"/>
        </w:rPr>
        <w:t>Cette demande de paiement devra comporter :</w:t>
      </w:r>
    </w:p>
    <w:p w:rsidR="00DC32C9" w:rsidRDefault="00DC32C9" w:rsidP="008F2B6A">
      <w:pPr>
        <w:numPr>
          <w:ilvl w:val="0"/>
          <w:numId w:val="36"/>
        </w:numPr>
        <w:suppressAutoHyphens/>
      </w:pPr>
      <w:r>
        <w:rPr>
          <w:rFonts w:cs="Verdana"/>
          <w:szCs w:val="18"/>
        </w:rPr>
        <w:t>Les noms du titulaire et du sous-traitant,</w:t>
      </w:r>
    </w:p>
    <w:p w:rsidR="00DC32C9" w:rsidRDefault="00DC32C9" w:rsidP="008F2B6A">
      <w:pPr>
        <w:numPr>
          <w:ilvl w:val="0"/>
          <w:numId w:val="36"/>
        </w:numPr>
        <w:suppressAutoHyphens/>
      </w:pPr>
      <w:r>
        <w:rPr>
          <w:rFonts w:cs="Verdana"/>
          <w:szCs w:val="18"/>
        </w:rPr>
        <w:t>Les références de l’acte spécial : n°, montant TTC, taux de T.V.A., prestations sous-traitées,</w:t>
      </w:r>
    </w:p>
    <w:p w:rsidR="00DC32C9" w:rsidRDefault="00DC32C9" w:rsidP="008F2B6A">
      <w:pPr>
        <w:numPr>
          <w:ilvl w:val="0"/>
          <w:numId w:val="36"/>
        </w:numPr>
        <w:suppressAutoHyphens/>
      </w:pPr>
      <w:r>
        <w:rPr>
          <w:rFonts w:cs="Verdana"/>
          <w:szCs w:val="18"/>
        </w:rPr>
        <w:t>Mois des prestations sous-traitées,</w:t>
      </w:r>
    </w:p>
    <w:p w:rsidR="00DC32C9" w:rsidRDefault="00DC32C9" w:rsidP="008F2B6A">
      <w:pPr>
        <w:numPr>
          <w:ilvl w:val="0"/>
          <w:numId w:val="36"/>
        </w:numPr>
        <w:suppressAutoHyphens/>
      </w:pPr>
      <w:r>
        <w:rPr>
          <w:rFonts w:cs="Verdana"/>
          <w:szCs w:val="18"/>
        </w:rPr>
        <w:t>Numérotation de l’attestation (nombre de demandes de paiement présentées sur le même acte spécial).</w:t>
      </w:r>
    </w:p>
    <w:p w:rsidR="00DC32C9" w:rsidRPr="0067761D" w:rsidRDefault="00DC32C9" w:rsidP="008F2B6A">
      <w:pPr>
        <w:numPr>
          <w:ilvl w:val="0"/>
          <w:numId w:val="36"/>
        </w:numPr>
        <w:suppressAutoHyphens/>
      </w:pPr>
      <w:r>
        <w:rPr>
          <w:rFonts w:cs="Verdana"/>
          <w:szCs w:val="18"/>
        </w:rPr>
        <w:t>Le montant TTC à régler directement, le taux de la TVA appliqué à ce montant, le taux de variation de prix inclus dans ce montant.</w:t>
      </w:r>
    </w:p>
    <w:p w:rsidR="00DC32C9" w:rsidRDefault="00DC32C9" w:rsidP="00032829">
      <w:pPr>
        <w:pStyle w:val="Titre2"/>
      </w:pPr>
      <w:bookmarkStart w:id="315" w:name="_Toc119597437"/>
      <w:bookmarkStart w:id="316" w:name="_Toc148692638"/>
      <w:r>
        <w:t>13.2 Cotraitance</w:t>
      </w:r>
      <w:bookmarkEnd w:id="315"/>
      <w:bookmarkEnd w:id="316"/>
      <w:r>
        <w:t> </w:t>
      </w:r>
    </w:p>
    <w:p w:rsidR="00DC32C9" w:rsidRPr="000B0210" w:rsidRDefault="00DC32C9" w:rsidP="00DC32C9">
      <w:r>
        <w:rPr>
          <w:rFonts w:eastAsia="Calibri" w:cs="Arial"/>
          <w:szCs w:val="18"/>
        </w:rPr>
        <w:t>La forme de groupement exigé pour la réalisation des prestations est le</w:t>
      </w:r>
      <w:r w:rsidRPr="000B0210">
        <w:rPr>
          <w:rFonts w:eastAsia="Calibri" w:cs="Arial"/>
          <w:szCs w:val="18"/>
        </w:rPr>
        <w:t xml:space="preserve"> </w:t>
      </w:r>
      <w:r w:rsidRPr="000B0210">
        <w:rPr>
          <w:rFonts w:eastAsia="Calibri" w:cs="Arial"/>
          <w:b/>
          <w:szCs w:val="18"/>
        </w:rPr>
        <w:t>groupement conjoint</w:t>
      </w:r>
      <w:r>
        <w:rPr>
          <w:rFonts w:eastAsia="Calibri" w:cs="Arial"/>
          <w:szCs w:val="18"/>
        </w:rPr>
        <w:t xml:space="preserve"> avec </w:t>
      </w:r>
      <w:r w:rsidRPr="000B0210">
        <w:rPr>
          <w:rFonts w:eastAsia="Calibri" w:cs="Arial"/>
          <w:szCs w:val="18"/>
        </w:rPr>
        <w:t>mandataire est</w:t>
      </w:r>
      <w:r w:rsidRPr="000B0210">
        <w:rPr>
          <w:rFonts w:eastAsia="Calibri" w:cs="Arial"/>
          <w:b/>
          <w:szCs w:val="18"/>
        </w:rPr>
        <w:t xml:space="preserve"> </w:t>
      </w:r>
      <w:r w:rsidRPr="000B0210">
        <w:rPr>
          <w:rFonts w:eastAsia="Calibri" w:cs="Arial"/>
          <w:szCs w:val="18"/>
          <w:u w:val="single"/>
        </w:rPr>
        <w:t>solidaire</w:t>
      </w:r>
      <w:r w:rsidRPr="000B0210">
        <w:rPr>
          <w:rFonts w:eastAsia="Calibri" w:cs="Arial"/>
          <w:szCs w:val="18"/>
        </w:rPr>
        <w:t>.</w:t>
      </w:r>
    </w:p>
    <w:p w:rsidR="00DC32C9" w:rsidRDefault="00DC32C9" w:rsidP="00DC32C9">
      <w:pPr>
        <w:rPr>
          <w:rFonts w:eastAsia="Calibri" w:cs="Arial"/>
          <w:szCs w:val="18"/>
        </w:rPr>
      </w:pPr>
      <w:r w:rsidRPr="000B0210">
        <w:rPr>
          <w:rFonts w:eastAsia="Calibri" w:cs="Arial"/>
          <w:szCs w:val="18"/>
        </w:rPr>
        <w:t xml:space="preserve">Le mandataire du groupement conjoint est ainsi solidaire, pour l’exécution du marché public, de chacun des membres du groupement pour ses obligations contractuelles à l’égard de l’acheteur. </w:t>
      </w:r>
    </w:p>
    <w:p w:rsidR="003F015F" w:rsidRDefault="003F015F" w:rsidP="00DC32C9">
      <w:pPr>
        <w:rPr>
          <w:rFonts w:eastAsia="Calibri" w:cs="Arial"/>
          <w:szCs w:val="18"/>
        </w:rPr>
      </w:pPr>
    </w:p>
    <w:p w:rsidR="00032829" w:rsidRDefault="00032829" w:rsidP="00DC32C9"/>
    <w:p w:rsidR="003F015F" w:rsidRPr="003F015F" w:rsidRDefault="003F015F" w:rsidP="003F015F">
      <w:pPr>
        <w:pStyle w:val="TITRE100"/>
      </w:pPr>
      <w:bookmarkStart w:id="317" w:name="_Toc119597438"/>
      <w:bookmarkStart w:id="318" w:name="_Toc148692639"/>
      <w:r w:rsidRPr="009D00EF">
        <w:t>ARTICLE 14 : RESILIATION</w:t>
      </w:r>
      <w:r>
        <w:t xml:space="preserve"> ET AUTRES MESURES COERCITIVES</w:t>
      </w:r>
      <w:bookmarkEnd w:id="317"/>
      <w:bookmarkEnd w:id="318"/>
    </w:p>
    <w:p w:rsidR="003F015F" w:rsidRDefault="003F015F" w:rsidP="003F015F">
      <w:pPr>
        <w:pStyle w:val="Titre2"/>
      </w:pPr>
      <w:bookmarkStart w:id="319" w:name="_Toc119597439"/>
      <w:bookmarkStart w:id="320" w:name="_Toc148692640"/>
      <w:r>
        <w:t>14.1 Résiliation</w:t>
      </w:r>
      <w:bookmarkEnd w:id="319"/>
      <w:bookmarkEnd w:id="320"/>
    </w:p>
    <w:p w:rsidR="003F015F" w:rsidRDefault="009A0790" w:rsidP="003F015F">
      <w:pPr>
        <w:rPr>
          <w:rFonts w:cs="Arial"/>
          <w:szCs w:val="18"/>
        </w:rPr>
      </w:pPr>
      <w:r>
        <w:rPr>
          <w:b/>
          <w:bCs/>
          <w:szCs w:val="18"/>
        </w:rPr>
        <w:t xml:space="preserve">L’accord cadre </w:t>
      </w:r>
      <w:r>
        <w:rPr>
          <w:szCs w:val="18"/>
        </w:rPr>
        <w:t xml:space="preserve">ou </w:t>
      </w:r>
      <w:r>
        <w:rPr>
          <w:b/>
          <w:bCs/>
          <w:szCs w:val="18"/>
        </w:rPr>
        <w:t xml:space="preserve">chaque marché subséquent </w:t>
      </w:r>
      <w:r w:rsidR="003F015F">
        <w:rPr>
          <w:rFonts w:cs="Arial"/>
          <w:szCs w:val="18"/>
        </w:rPr>
        <w:t>p</w:t>
      </w:r>
      <w:r>
        <w:rPr>
          <w:rFonts w:cs="Arial"/>
          <w:szCs w:val="18"/>
        </w:rPr>
        <w:t>ourront</w:t>
      </w:r>
      <w:r w:rsidR="003F015F">
        <w:rPr>
          <w:rFonts w:cs="Arial"/>
          <w:szCs w:val="18"/>
        </w:rPr>
        <w:t xml:space="preserve"> </w:t>
      </w:r>
      <w:r w:rsidR="003F015F" w:rsidRPr="000B0210">
        <w:rPr>
          <w:rFonts w:cs="Arial"/>
          <w:szCs w:val="18"/>
        </w:rPr>
        <w:t xml:space="preserve">être résilié conformément aux dispositions prévues </w:t>
      </w:r>
      <w:r w:rsidR="003F015F" w:rsidRPr="000B0210">
        <w:rPr>
          <w:rFonts w:cs="Arial"/>
          <w:b/>
          <w:szCs w:val="18"/>
        </w:rPr>
        <w:t>au chapitre 6 du CCAG (articles 27 à 32)</w:t>
      </w:r>
      <w:r w:rsidR="003F015F" w:rsidRPr="000B0210">
        <w:rPr>
          <w:rFonts w:cs="Arial"/>
          <w:szCs w:val="18"/>
        </w:rPr>
        <w:t>.</w:t>
      </w:r>
    </w:p>
    <w:p w:rsidR="003F015F" w:rsidRDefault="003F015F" w:rsidP="003F015F">
      <w:r>
        <w:rPr>
          <w:rFonts w:cs="Arial"/>
          <w:szCs w:val="18"/>
        </w:rPr>
        <w:t>La résiliation prend effet à la date fixée dans la décision de résiliation, ou à défaut à la date de sa notification.</w:t>
      </w:r>
    </w:p>
    <w:p w:rsidR="003F015F" w:rsidRDefault="003F015F" w:rsidP="003F015F">
      <w:pPr>
        <w:rPr>
          <w:rFonts w:cs="Arial"/>
          <w:b/>
          <w:szCs w:val="18"/>
          <w:highlight w:val="yellow"/>
          <w:u w:val="single"/>
        </w:rPr>
      </w:pPr>
    </w:p>
    <w:p w:rsidR="003F015F" w:rsidRPr="009D00EF" w:rsidRDefault="003F015F" w:rsidP="003F015F">
      <w:pPr>
        <w:rPr>
          <w:rFonts w:cs="Arial"/>
          <w:szCs w:val="18"/>
        </w:rPr>
      </w:pPr>
      <w:r w:rsidRPr="009D00EF">
        <w:rPr>
          <w:rFonts w:cs="Arial"/>
          <w:b/>
          <w:szCs w:val="18"/>
          <w:u w:val="single"/>
        </w:rPr>
        <w:t>Résiliation pour faute</w:t>
      </w:r>
      <w:r w:rsidRPr="009D00EF">
        <w:rPr>
          <w:rFonts w:cs="Arial"/>
          <w:b/>
          <w:szCs w:val="18"/>
        </w:rPr>
        <w:t> (article dérogeant en partie à l’article 30 du CCAG-MOE) :</w:t>
      </w:r>
    </w:p>
    <w:p w:rsidR="003F015F" w:rsidRPr="009D00EF" w:rsidRDefault="003F015F" w:rsidP="003F015F">
      <w:pPr>
        <w:autoSpaceDE w:val="0"/>
      </w:pPr>
      <w:r w:rsidRPr="009D00EF">
        <w:rPr>
          <w:rFonts w:cs="Arial"/>
          <w:szCs w:val="18"/>
        </w:rPr>
        <w:t xml:space="preserve">En plus des cas prévus dans le CCAG, le marché pourra aussi être </w:t>
      </w:r>
      <w:r w:rsidRPr="009D00EF">
        <w:rPr>
          <w:rFonts w:cs="Arial"/>
          <w:b/>
          <w:szCs w:val="18"/>
        </w:rPr>
        <w:t>résilié pour faute</w:t>
      </w:r>
      <w:r w:rsidRPr="009D00EF">
        <w:rPr>
          <w:rFonts w:cs="Arial"/>
          <w:szCs w:val="18"/>
        </w:rPr>
        <w:t xml:space="preserve"> du titulaire par le pouvoir adjudicateur en cas d’inexécution, de mauvaise exécution, de non-respect ou violations d’une ou de plusieurs prescriptions contractuelles.</w:t>
      </w:r>
    </w:p>
    <w:p w:rsidR="003F015F" w:rsidRPr="009D00EF" w:rsidRDefault="003F015F" w:rsidP="003F015F">
      <w:pPr>
        <w:autoSpaceDE w:val="0"/>
        <w:rPr>
          <w:rFonts w:cs="Arial"/>
          <w:szCs w:val="18"/>
        </w:rPr>
      </w:pPr>
    </w:p>
    <w:p w:rsidR="003F015F" w:rsidRPr="009D00EF" w:rsidRDefault="003F015F" w:rsidP="003F015F">
      <w:pPr>
        <w:widowControl w:val="0"/>
        <w:spacing w:before="280" w:after="280"/>
        <w:contextualSpacing/>
      </w:pPr>
      <w:r w:rsidRPr="009D00EF">
        <w:rPr>
          <w:rFonts w:cs="Arial"/>
          <w:szCs w:val="18"/>
        </w:rPr>
        <w:t xml:space="preserve">L’administration signale les défaillances au titulaire par lettre (LRAR ou via la plate-forme PLACE). Cette lettre a valeur de </w:t>
      </w:r>
      <w:r w:rsidRPr="009D00EF">
        <w:rPr>
          <w:rFonts w:cs="Arial"/>
          <w:b/>
          <w:szCs w:val="18"/>
        </w:rPr>
        <w:t>mise en demeure</w:t>
      </w:r>
      <w:r w:rsidRPr="009D00EF">
        <w:rPr>
          <w:rFonts w:cs="Arial"/>
          <w:szCs w:val="18"/>
        </w:rPr>
        <w:t>.</w:t>
      </w:r>
    </w:p>
    <w:p w:rsidR="003F015F" w:rsidRPr="009D00EF" w:rsidRDefault="003F015F" w:rsidP="003F015F">
      <w:pPr>
        <w:widowControl w:val="0"/>
        <w:spacing w:before="280" w:after="280"/>
        <w:contextualSpacing/>
        <w:rPr>
          <w:rFonts w:cs="Arial"/>
          <w:szCs w:val="18"/>
        </w:rPr>
      </w:pPr>
    </w:p>
    <w:p w:rsidR="003F015F" w:rsidRPr="009D00EF" w:rsidRDefault="003F015F" w:rsidP="003F015F">
      <w:pPr>
        <w:widowControl w:val="0"/>
        <w:spacing w:before="280" w:after="280"/>
        <w:contextualSpacing/>
      </w:pPr>
      <w:r w:rsidRPr="009D00EF">
        <w:rPr>
          <w:rFonts w:cs="Arial"/>
          <w:szCs w:val="18"/>
        </w:rPr>
        <w:t xml:space="preserve">Le titulaire dispose </w:t>
      </w:r>
      <w:r w:rsidRPr="009D00EF">
        <w:rPr>
          <w:rFonts w:cs="Arial"/>
          <w:b/>
          <w:szCs w:val="18"/>
        </w:rPr>
        <w:t xml:space="preserve">du délai </w:t>
      </w:r>
      <w:r w:rsidRPr="009D00EF">
        <w:rPr>
          <w:rFonts w:cs="Arial"/>
          <w:szCs w:val="18"/>
        </w:rPr>
        <w:t>indiqué dans la lettre</w:t>
      </w:r>
      <w:r w:rsidRPr="009D00EF">
        <w:rPr>
          <w:rFonts w:cs="Arial"/>
          <w:b/>
          <w:szCs w:val="18"/>
        </w:rPr>
        <w:t xml:space="preserve"> pour exécuter les prestations demandées, mettre fin au manquement et présenter ses observations</w:t>
      </w:r>
      <w:r w:rsidRPr="009D00EF">
        <w:rPr>
          <w:rFonts w:cs="Arial"/>
          <w:szCs w:val="18"/>
        </w:rPr>
        <w:t xml:space="preserve"> (la lettre informe également le titulaire de la sanction envisagée).</w:t>
      </w:r>
    </w:p>
    <w:p w:rsidR="003F015F" w:rsidRPr="009D00EF" w:rsidRDefault="003F015F" w:rsidP="003F015F">
      <w:pPr>
        <w:widowControl w:val="0"/>
        <w:spacing w:before="280" w:after="280"/>
        <w:contextualSpacing/>
        <w:rPr>
          <w:rFonts w:cs="Arial"/>
          <w:szCs w:val="18"/>
        </w:rPr>
      </w:pPr>
    </w:p>
    <w:p w:rsidR="003F015F" w:rsidRPr="009D00EF" w:rsidRDefault="003F015F" w:rsidP="003F015F">
      <w:pPr>
        <w:autoSpaceDE w:val="0"/>
      </w:pPr>
      <w:r w:rsidRPr="009D00EF">
        <w:rPr>
          <w:rFonts w:cs="Arial"/>
          <w:szCs w:val="18"/>
        </w:rPr>
        <w:t xml:space="preserve">Passé ce délai si la mise en demeure </w:t>
      </w:r>
      <w:r w:rsidRPr="009D00EF">
        <w:rPr>
          <w:rFonts w:cs="Arial"/>
          <w:b/>
          <w:szCs w:val="18"/>
        </w:rPr>
        <w:t>est restée infructueuse</w:t>
      </w:r>
      <w:r w:rsidRPr="009D00EF">
        <w:rPr>
          <w:rFonts w:cs="Arial"/>
          <w:szCs w:val="18"/>
        </w:rPr>
        <w:t xml:space="preserve">, ou dans le cas où </w:t>
      </w:r>
      <w:r w:rsidRPr="009D00EF">
        <w:rPr>
          <w:rFonts w:cs="Arial"/>
          <w:b/>
          <w:szCs w:val="18"/>
        </w:rPr>
        <w:t>l’administration constate à nouveau</w:t>
      </w:r>
      <w:r w:rsidRPr="009D00EF">
        <w:rPr>
          <w:rFonts w:cs="Arial"/>
          <w:szCs w:val="18"/>
        </w:rPr>
        <w:t xml:space="preserve"> que malgré celle-ci le titulaire ne respecte toujours pas ses obligations contractuelles, le marché peut alors être résilié sans autre mise en demeure et sans préavis au titulaire par lettre (LRAR ou PLACE).</w:t>
      </w:r>
    </w:p>
    <w:p w:rsidR="003F015F" w:rsidRDefault="003F015F" w:rsidP="003F015F">
      <w:pPr>
        <w:autoSpaceDE w:val="0"/>
        <w:rPr>
          <w:rFonts w:cs="Arial"/>
          <w:szCs w:val="18"/>
          <w:highlight w:val="yellow"/>
        </w:rPr>
      </w:pPr>
    </w:p>
    <w:p w:rsidR="003F015F" w:rsidRDefault="003F015F" w:rsidP="003F015F">
      <w:pPr>
        <w:autoSpaceDE w:val="0"/>
      </w:pPr>
      <w:r>
        <w:rPr>
          <w:rFonts w:cs="Arial"/>
          <w:szCs w:val="18"/>
        </w:rPr>
        <w:t>Le titulaire ne peut prétendre au versement d’aucune indemnité en cas de résiliation pour faute.</w:t>
      </w:r>
    </w:p>
    <w:p w:rsidR="003F015F" w:rsidRDefault="003F015F" w:rsidP="003F015F">
      <w:pPr>
        <w:pStyle w:val="Retraitcorpsdetexte31"/>
        <w:spacing w:after="0"/>
        <w:ind w:left="0"/>
        <w:jc w:val="both"/>
        <w:rPr>
          <w:rFonts w:ascii="Verdana" w:hAnsi="Verdana" w:cs="Arial"/>
          <w:b/>
          <w:bCs/>
          <w:i/>
          <w:iCs/>
          <w:sz w:val="18"/>
          <w:szCs w:val="18"/>
          <w:lang w:val="fr-FR"/>
        </w:rPr>
      </w:pPr>
    </w:p>
    <w:p w:rsidR="003F015F" w:rsidRPr="00A05760" w:rsidRDefault="003F015F" w:rsidP="003F015F">
      <w:pPr>
        <w:pStyle w:val="Retraitcorpsdetexte31"/>
        <w:ind w:left="0"/>
        <w:jc w:val="both"/>
        <w:rPr>
          <w:b/>
        </w:rPr>
      </w:pPr>
      <w:r w:rsidRPr="00A05760">
        <w:rPr>
          <w:rFonts w:ascii="Verdana" w:hAnsi="Verdana" w:cs="Arial"/>
          <w:b/>
          <w:bCs/>
          <w:sz w:val="18"/>
          <w:szCs w:val="18"/>
          <w:u w:val="single"/>
          <w:lang w:val="fr-FR"/>
        </w:rPr>
        <w:t>C</w:t>
      </w:r>
      <w:r w:rsidRPr="00A05760">
        <w:rPr>
          <w:rFonts w:ascii="Verdana" w:hAnsi="Verdana" w:cs="Arial"/>
          <w:b/>
          <w:bCs/>
          <w:sz w:val="18"/>
          <w:szCs w:val="18"/>
          <w:u w:val="single"/>
        </w:rPr>
        <w:t>h</w:t>
      </w:r>
      <w:r w:rsidRPr="00A05760">
        <w:rPr>
          <w:rFonts w:ascii="Verdana" w:hAnsi="Verdana" w:cs="Arial"/>
          <w:b/>
          <w:bCs/>
          <w:sz w:val="18"/>
          <w:szCs w:val="18"/>
          <w:u w:val="single"/>
          <w:lang w:val="fr-FR"/>
        </w:rPr>
        <w:t>an</w:t>
      </w:r>
      <w:proofErr w:type="spellStart"/>
      <w:r w:rsidRPr="00A05760">
        <w:rPr>
          <w:rFonts w:ascii="Verdana" w:hAnsi="Verdana" w:cs="Arial"/>
          <w:b/>
          <w:bCs/>
          <w:sz w:val="18"/>
          <w:szCs w:val="18"/>
          <w:u w:val="single"/>
        </w:rPr>
        <w:t>gement</w:t>
      </w:r>
      <w:proofErr w:type="spellEnd"/>
      <w:r w:rsidRPr="00A05760">
        <w:rPr>
          <w:rFonts w:ascii="Verdana" w:hAnsi="Verdana" w:cs="Arial"/>
          <w:b/>
          <w:bCs/>
          <w:sz w:val="18"/>
          <w:szCs w:val="18"/>
          <w:u w:val="single"/>
        </w:rPr>
        <w:t xml:space="preserve"> de situation des opérateurs économiques au regard des interdictions de soumissionner</w:t>
      </w:r>
      <w:r w:rsidRPr="00A05760">
        <w:rPr>
          <w:rFonts w:ascii="Verdana" w:hAnsi="Verdana" w:cs="Arial"/>
          <w:b/>
          <w:sz w:val="18"/>
          <w:szCs w:val="18"/>
          <w:u w:val="single"/>
        </w:rPr>
        <w:t xml:space="preserve"> </w:t>
      </w:r>
    </w:p>
    <w:p w:rsidR="003F015F" w:rsidRDefault="003F015F" w:rsidP="003F015F">
      <w:pPr>
        <w:pStyle w:val="Retraitcorpsdetexte31"/>
        <w:ind w:left="0"/>
        <w:jc w:val="both"/>
      </w:pPr>
      <w:r>
        <w:rPr>
          <w:rFonts w:ascii="Verdana" w:hAnsi="Verdana" w:cs="Arial"/>
          <w:sz w:val="18"/>
          <w:szCs w:val="18"/>
        </w:rPr>
        <w:lastRenderedPageBreak/>
        <w:t>En application de</w:t>
      </w:r>
      <w:r>
        <w:rPr>
          <w:rFonts w:ascii="Verdana" w:hAnsi="Verdana" w:cs="Arial"/>
          <w:sz w:val="18"/>
          <w:szCs w:val="18"/>
          <w:lang w:val="fr-FR"/>
        </w:rPr>
        <w:t xml:space="preserve"> l’</w:t>
      </w:r>
      <w:r>
        <w:rPr>
          <w:rFonts w:ascii="Verdana" w:hAnsi="Verdana" w:cs="Arial"/>
          <w:sz w:val="18"/>
          <w:szCs w:val="18"/>
        </w:rPr>
        <w:t xml:space="preserve">article </w:t>
      </w:r>
      <w:r>
        <w:rPr>
          <w:rFonts w:ascii="Verdana" w:hAnsi="Verdana" w:cs="Calibri"/>
          <w:bCs/>
          <w:iCs/>
          <w:sz w:val="18"/>
          <w:szCs w:val="18"/>
          <w:lang w:val="fr-FR"/>
        </w:rPr>
        <w:t>L2395-2</w:t>
      </w:r>
      <w:r>
        <w:rPr>
          <w:rFonts w:ascii="Verdana" w:hAnsi="Verdana" w:cs="Calibri"/>
          <w:bCs/>
          <w:iCs/>
          <w:sz w:val="18"/>
          <w:szCs w:val="18"/>
        </w:rPr>
        <w:t xml:space="preserve"> du Code de la Commande Publique</w:t>
      </w:r>
      <w:r>
        <w:rPr>
          <w:rFonts w:ascii="Verdana" w:hAnsi="Verdana" w:cs="Arial"/>
          <w:sz w:val="18"/>
          <w:szCs w:val="18"/>
        </w:rPr>
        <w:t>, lorsque le titulaire est, au cours de l'exécution du marché, placé dans l'un des cas d'exclusion mentionnés aux articles L. 2341-1 à L. 2341-3 et L. 2341-5, il informe sans délai l'acheteur de ce changement de situation. L'acheteur peut alors résilier le marché.</w:t>
      </w:r>
      <w:r>
        <w:rPr>
          <w:rFonts w:ascii="Verdana" w:hAnsi="Verdana" w:cs="Arial"/>
          <w:sz w:val="18"/>
          <w:szCs w:val="18"/>
          <w:lang w:val="fr-FR"/>
        </w:rPr>
        <w:t xml:space="preserve"> </w:t>
      </w:r>
      <w:r>
        <w:rPr>
          <w:rFonts w:ascii="Verdana" w:hAnsi="Verdana" w:cs="Arial"/>
          <w:sz w:val="18"/>
          <w:szCs w:val="18"/>
        </w:rPr>
        <w:t>Le titulaire ne peut prétendre au versement d’aucune indemnité en cas de résiliation.</w:t>
      </w:r>
    </w:p>
    <w:p w:rsidR="003F015F" w:rsidRDefault="003F015F" w:rsidP="003F015F">
      <w:pPr>
        <w:pStyle w:val="Titre2"/>
      </w:pPr>
      <w:bookmarkStart w:id="321" w:name="_Toc119597440"/>
      <w:bookmarkStart w:id="322" w:name="_Toc148692641"/>
      <w:r>
        <w:t>14.2 Exécution des prestations aux frais et risques du maître d’œuvre</w:t>
      </w:r>
      <w:bookmarkEnd w:id="321"/>
      <w:bookmarkEnd w:id="322"/>
    </w:p>
    <w:p w:rsidR="003F015F" w:rsidRPr="0097603B" w:rsidRDefault="003F015F" w:rsidP="003F015F">
      <w:pPr>
        <w:rPr>
          <w:rFonts w:cs="Verdana"/>
          <w:b/>
          <w:bCs/>
          <w:iCs/>
          <w:szCs w:val="18"/>
          <w:u w:val="single"/>
        </w:rPr>
      </w:pPr>
      <w:r>
        <w:rPr>
          <w:rFonts w:cs="Verdana"/>
          <w:szCs w:val="18"/>
        </w:rPr>
        <w:t>Les stipulations de</w:t>
      </w:r>
      <w:r w:rsidRPr="0097603B">
        <w:rPr>
          <w:rFonts w:cs="Verdana"/>
          <w:szCs w:val="18"/>
        </w:rPr>
        <w:t xml:space="preserve"> l’article 34 du CCAG-MOE</w:t>
      </w:r>
      <w:r>
        <w:rPr>
          <w:rFonts w:cs="Verdana"/>
          <w:szCs w:val="18"/>
        </w:rPr>
        <w:t xml:space="preserve"> s’appliquent pleinement</w:t>
      </w:r>
      <w:r w:rsidRPr="0097603B">
        <w:rPr>
          <w:rFonts w:cs="Verdana"/>
          <w:szCs w:val="18"/>
        </w:rPr>
        <w:t>.</w:t>
      </w:r>
    </w:p>
    <w:p w:rsidR="003F015F" w:rsidRPr="00AD5234" w:rsidRDefault="003F015F" w:rsidP="003F015F">
      <w:pPr>
        <w:pStyle w:val="Retraitcorpsdetexte31"/>
        <w:ind w:left="0"/>
        <w:jc w:val="both"/>
        <w:rPr>
          <w:lang w:val="fr-FR"/>
        </w:rPr>
      </w:pPr>
    </w:p>
    <w:p w:rsidR="003F015F" w:rsidRDefault="003F015F" w:rsidP="003F015F">
      <w:pPr>
        <w:pStyle w:val="TITRE100"/>
      </w:pPr>
      <w:bookmarkStart w:id="323" w:name="_Toc119597441"/>
      <w:bookmarkStart w:id="324" w:name="_Toc148692642"/>
      <w:r>
        <w:t>ARTICLE 15 : DIFFERENDS ET LITIGES</w:t>
      </w:r>
      <w:bookmarkEnd w:id="323"/>
      <w:bookmarkEnd w:id="324"/>
    </w:p>
    <w:p w:rsidR="003F015F" w:rsidRDefault="003F015F" w:rsidP="003F015F">
      <w:pPr>
        <w:pStyle w:val="Titre2"/>
      </w:pPr>
      <w:bookmarkStart w:id="325" w:name="_Toc119597442"/>
      <w:bookmarkStart w:id="326" w:name="_Toc148692643"/>
      <w:r>
        <w:t>15.1 Différends</w:t>
      </w:r>
      <w:bookmarkEnd w:id="325"/>
      <w:bookmarkEnd w:id="326"/>
    </w:p>
    <w:p w:rsidR="003F015F" w:rsidRDefault="003F015F" w:rsidP="003F015F">
      <w:pPr>
        <w:rPr>
          <w:rFonts w:cs="Calibri"/>
          <w:bCs/>
          <w:iCs/>
          <w:szCs w:val="18"/>
        </w:rPr>
      </w:pPr>
      <w:r>
        <w:rPr>
          <w:rFonts w:cs="Arial"/>
          <w:szCs w:val="18"/>
        </w:rPr>
        <w:t xml:space="preserve">Préalablement à tout recours contentieux, le Comité Consultatif Inter Régional de Règlement Amiable ou un médiateur pourra être saisi, soit par le pouvoir adjudicateur, soit par le titulaire dans les conditions fixées au chapitre VII « Règlement alternatifs des différents » de la partie règlementaire du </w:t>
      </w:r>
      <w:r>
        <w:rPr>
          <w:rFonts w:cs="Calibri"/>
          <w:bCs/>
          <w:iCs/>
          <w:szCs w:val="18"/>
        </w:rPr>
        <w:t>Code de la Commande Publique.</w:t>
      </w:r>
    </w:p>
    <w:p w:rsidR="003F015F" w:rsidRDefault="003F015F" w:rsidP="003F015F">
      <w:pPr>
        <w:rPr>
          <w:rFonts w:cs="Calibri"/>
          <w:bCs/>
          <w:iCs/>
          <w:szCs w:val="18"/>
        </w:rPr>
      </w:pPr>
    </w:p>
    <w:p w:rsidR="003F015F" w:rsidRPr="00AD5234" w:rsidRDefault="003F015F" w:rsidP="003F015F">
      <w:pPr>
        <w:spacing w:after="240"/>
        <w:rPr>
          <w:rFonts w:cs="Calibri"/>
          <w:bCs/>
          <w:iCs/>
          <w:szCs w:val="18"/>
        </w:rPr>
      </w:pPr>
      <w:r>
        <w:rPr>
          <w:rFonts w:cs="Calibri"/>
          <w:bCs/>
          <w:iCs/>
          <w:szCs w:val="18"/>
        </w:rPr>
        <w:t>Concernant le recours à la médiation, les parties pourront désigner un médiateur juridictionnel d’un commun accord. A défaut d’accord sur le choix d’un médiateur, l</w:t>
      </w:r>
      <w:r w:rsidRPr="00AD5234">
        <w:rPr>
          <w:rFonts w:cs="Calibri"/>
          <w:bCs/>
          <w:iCs/>
          <w:szCs w:val="18"/>
        </w:rPr>
        <w:t>a partie la plus diligente saisira la juridiction administrative en application des dispositions de l’article L.213-5 en vue de l’organisation d’une médiation et de la désignation d’un médiateur. Les parties conviendront, avec le médiateur, des modalités de sa mise en œuvre. La médiation ne pourra excéder une durée d’un mois, éventuellement renouvelable d’un commun accord. L’absence d’accord sera acté</w:t>
      </w:r>
      <w:r>
        <w:rPr>
          <w:rFonts w:cs="Calibri"/>
          <w:bCs/>
          <w:iCs/>
          <w:szCs w:val="18"/>
        </w:rPr>
        <w:t>e</w:t>
      </w:r>
      <w:r w:rsidRPr="00AD5234">
        <w:rPr>
          <w:rFonts w:cs="Calibri"/>
          <w:bCs/>
          <w:iCs/>
          <w:szCs w:val="18"/>
        </w:rPr>
        <w:t xml:space="preserve"> par écrit par le médiateur. En cas d’accord, les parties détermineront conjointement sa forme (protocole, simple avenant, décision…). </w:t>
      </w:r>
    </w:p>
    <w:p w:rsidR="003F015F" w:rsidRDefault="003F015F" w:rsidP="003F015F">
      <w:r>
        <w:rPr>
          <w:rFonts w:cs="Arial"/>
          <w:szCs w:val="18"/>
          <w:u w:val="single"/>
        </w:rPr>
        <w:t>Coordonnées du Comité Consultatif Inter Régional de Règlement Amiable :</w:t>
      </w:r>
    </w:p>
    <w:p w:rsidR="003F015F" w:rsidRDefault="003F015F" w:rsidP="003F015F">
      <w:r>
        <w:rPr>
          <w:rFonts w:cs="Arial"/>
          <w:szCs w:val="18"/>
        </w:rPr>
        <w:t>Préfecture de la région Provence - Alpes - Côte d'Azur</w:t>
      </w:r>
    </w:p>
    <w:p w:rsidR="003F015F" w:rsidRDefault="003F015F" w:rsidP="003F015F">
      <w:r>
        <w:rPr>
          <w:rFonts w:cs="Arial"/>
          <w:szCs w:val="18"/>
        </w:rPr>
        <w:t>Secrétariat général pour les affaires régionales</w:t>
      </w:r>
    </w:p>
    <w:p w:rsidR="003F015F" w:rsidRDefault="003F015F" w:rsidP="003F015F">
      <w:r>
        <w:rPr>
          <w:rFonts w:cs="Arial"/>
          <w:szCs w:val="18"/>
        </w:rPr>
        <w:t>Place Félix-Baret</w:t>
      </w:r>
    </w:p>
    <w:p w:rsidR="003F015F" w:rsidRDefault="003F015F" w:rsidP="003F015F">
      <w:r>
        <w:rPr>
          <w:rFonts w:cs="Arial"/>
          <w:szCs w:val="18"/>
        </w:rPr>
        <w:t>CS 80001</w:t>
      </w:r>
    </w:p>
    <w:p w:rsidR="003F015F" w:rsidRDefault="003F015F" w:rsidP="003F015F">
      <w:r>
        <w:rPr>
          <w:rFonts w:cs="Arial"/>
          <w:szCs w:val="18"/>
        </w:rPr>
        <w:t>13282 MARSEILLE Cedex 06</w:t>
      </w:r>
    </w:p>
    <w:p w:rsidR="003F015F" w:rsidRDefault="003F015F" w:rsidP="003F015F">
      <w:r>
        <w:rPr>
          <w:rFonts w:cs="Arial"/>
          <w:szCs w:val="18"/>
        </w:rPr>
        <w:t>Secrétariat du comité : Catherine PIETRI</w:t>
      </w:r>
    </w:p>
    <w:p w:rsidR="003F015F" w:rsidRPr="00DA780F" w:rsidRDefault="003F015F" w:rsidP="003F015F">
      <w:r>
        <w:rPr>
          <w:rFonts w:cs="Arial"/>
          <w:szCs w:val="18"/>
        </w:rPr>
        <w:t xml:space="preserve">Courriel : </w:t>
      </w:r>
      <w:hyperlink r:id="rId19" w:history="1">
        <w:r>
          <w:rPr>
            <w:rStyle w:val="Lienhypertexte"/>
            <w:rFonts w:cs="Arial"/>
            <w:szCs w:val="18"/>
          </w:rPr>
          <w:t>catherine.pietri@paca.gouv.fr</w:t>
        </w:r>
      </w:hyperlink>
      <w:r>
        <w:rPr>
          <w:rFonts w:cs="Arial"/>
          <w:szCs w:val="18"/>
        </w:rPr>
        <w:t xml:space="preserve">  /Tél. : 04.84.35.45.54 </w:t>
      </w:r>
    </w:p>
    <w:p w:rsidR="003F015F" w:rsidRDefault="003F015F" w:rsidP="003F015F">
      <w:pPr>
        <w:pStyle w:val="Titre2"/>
      </w:pPr>
      <w:bookmarkStart w:id="327" w:name="_Toc119597443"/>
      <w:bookmarkStart w:id="328" w:name="_Toc148692644"/>
      <w:r>
        <w:t>15.2 Litiges</w:t>
      </w:r>
      <w:bookmarkEnd w:id="327"/>
      <w:bookmarkEnd w:id="328"/>
    </w:p>
    <w:p w:rsidR="003F015F" w:rsidRDefault="003F015F" w:rsidP="003F015F">
      <w:r>
        <w:rPr>
          <w:rFonts w:cs="Arial"/>
          <w:szCs w:val="18"/>
        </w:rPr>
        <w:t xml:space="preserve">Les litiges éventuels sont réglés par les lois et règlements du droit français. </w:t>
      </w:r>
    </w:p>
    <w:p w:rsidR="003F015F" w:rsidRDefault="003F015F" w:rsidP="003F015F">
      <w:r>
        <w:rPr>
          <w:rFonts w:cs="Arial"/>
          <w:szCs w:val="18"/>
        </w:rPr>
        <w:t>AMU et le titulaire déclarent élire domicile à leurs sièges respectifs et s’en remettre au tribunal administratif de la ville de Marseille pour le règlement des litiges éventuels afférents au présent marché.</w:t>
      </w:r>
    </w:p>
    <w:p w:rsidR="003F015F" w:rsidRPr="00DA780F" w:rsidRDefault="003F015F" w:rsidP="003F015F">
      <w:pPr>
        <w:rPr>
          <w:rFonts w:cs="Verdana"/>
          <w:sz w:val="10"/>
          <w:szCs w:val="10"/>
        </w:rPr>
      </w:pPr>
    </w:p>
    <w:p w:rsidR="003F015F" w:rsidRDefault="003F015F" w:rsidP="003F015F">
      <w:pPr>
        <w:pStyle w:val="Corpsdetexte"/>
      </w:pPr>
      <w:r>
        <w:rPr>
          <w:rFonts w:cs="Arial"/>
          <w:szCs w:val="18"/>
        </w:rPr>
        <w:t>Le Tribunal Administratif de Marseille est seul compétent pour connaître des litiges qui pourraient survenir lors de l'exécution du présent marché, à l’exception des litiges relatifs à la propriété intellectuelles relevant de la compétence de la juridiction judiciaire.</w:t>
      </w:r>
    </w:p>
    <w:p w:rsidR="003F015F" w:rsidRDefault="003F015F" w:rsidP="003F015F">
      <w:pPr>
        <w:pStyle w:val="Corpsdetexte"/>
        <w:rPr>
          <w:rFonts w:cs="Arial"/>
          <w:szCs w:val="18"/>
        </w:rPr>
      </w:pPr>
    </w:p>
    <w:p w:rsidR="003F015F" w:rsidRDefault="003F015F" w:rsidP="003F015F">
      <w:r>
        <w:rPr>
          <w:rFonts w:cs="Verdana"/>
          <w:szCs w:val="18"/>
          <w:u w:val="single"/>
        </w:rPr>
        <w:t>Coordonnées du Tribunal Administratif de Marseille :</w:t>
      </w:r>
    </w:p>
    <w:p w:rsidR="003F015F" w:rsidRDefault="003F015F" w:rsidP="003F015F">
      <w:r>
        <w:rPr>
          <w:rFonts w:cs="Verdana"/>
          <w:szCs w:val="18"/>
        </w:rPr>
        <w:t>22, 24 rue Breteuil, 13006 Marseille</w:t>
      </w:r>
    </w:p>
    <w:p w:rsidR="003F015F" w:rsidRDefault="003F015F" w:rsidP="003F015F">
      <w:pPr>
        <w:rPr>
          <w:rFonts w:cs="Verdana"/>
          <w:szCs w:val="18"/>
        </w:rPr>
      </w:pPr>
      <w:r>
        <w:rPr>
          <w:rFonts w:cs="Verdana"/>
          <w:szCs w:val="18"/>
        </w:rPr>
        <w:t xml:space="preserve">Courriel : </w:t>
      </w:r>
      <w:hyperlink r:id="rId20" w:history="1">
        <w:r>
          <w:rPr>
            <w:rStyle w:val="Lienhypertexte"/>
            <w:rFonts w:cs="Verdana"/>
            <w:color w:val="000000"/>
            <w:szCs w:val="18"/>
          </w:rPr>
          <w:t>greffe.ta-marseille@juradm.fr</w:t>
        </w:r>
      </w:hyperlink>
    </w:p>
    <w:p w:rsidR="003F015F" w:rsidRDefault="003F015F" w:rsidP="003F015F">
      <w:pPr>
        <w:rPr>
          <w:rFonts w:cs="Verdana"/>
          <w:szCs w:val="18"/>
        </w:rPr>
      </w:pPr>
      <w:r>
        <w:rPr>
          <w:rFonts w:cs="Verdana"/>
          <w:szCs w:val="18"/>
        </w:rPr>
        <w:t>Téléphone : 04 91 13 48 13 / Télécopie : 04 91 81 13 87 / 89</w:t>
      </w:r>
    </w:p>
    <w:p w:rsidR="003F015F" w:rsidRDefault="003F015F" w:rsidP="003F015F"/>
    <w:p w:rsidR="003F015F" w:rsidRDefault="003F015F" w:rsidP="003F015F"/>
    <w:p w:rsidR="003F015F" w:rsidRDefault="003F015F" w:rsidP="003F015F">
      <w:pPr>
        <w:pStyle w:val="TITRE100"/>
      </w:pPr>
      <w:bookmarkStart w:id="329" w:name="_Toc119597444"/>
      <w:bookmarkStart w:id="330" w:name="_Toc148692645"/>
      <w:r>
        <w:t>ARTICLE 16 : DEROGATION ET COMPLEMENTS</w:t>
      </w:r>
      <w:bookmarkEnd w:id="329"/>
      <w:bookmarkEnd w:id="330"/>
    </w:p>
    <w:p w:rsidR="003F015F" w:rsidRPr="00CE5398" w:rsidRDefault="003F015F" w:rsidP="003F015F"/>
    <w:tbl>
      <w:tblPr>
        <w:tblW w:w="9582" w:type="dxa"/>
        <w:tblInd w:w="-5" w:type="dxa"/>
        <w:tblLayout w:type="fixed"/>
        <w:tblLook w:val="0000" w:firstRow="0" w:lastRow="0" w:firstColumn="0" w:lastColumn="0" w:noHBand="0" w:noVBand="0"/>
      </w:tblPr>
      <w:tblGrid>
        <w:gridCol w:w="4219"/>
        <w:gridCol w:w="5363"/>
      </w:tblGrid>
      <w:tr w:rsidR="003F015F"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F015F" w:rsidRDefault="003F015F" w:rsidP="008F2B6A">
            <w:r>
              <w:rPr>
                <w:rFonts w:cs="Arial"/>
                <w:b/>
                <w:sz w:val="16"/>
                <w:szCs w:val="16"/>
              </w:rPr>
              <w:t xml:space="preserve">Articles du présent </w:t>
            </w:r>
            <w:r w:rsidRPr="009D00EF">
              <w:rPr>
                <w:rFonts w:cs="Arial"/>
                <w:b/>
                <w:sz w:val="16"/>
                <w:szCs w:val="16"/>
              </w:rPr>
              <w:t>CCAP</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F015F" w:rsidRDefault="003F015F" w:rsidP="008F2B6A">
            <w:r>
              <w:rPr>
                <w:rFonts w:cs="Arial"/>
                <w:b/>
                <w:sz w:val="16"/>
                <w:szCs w:val="16"/>
              </w:rPr>
              <w:t>Articles du CCAG auquel le présent document déroge ou complète</w:t>
            </w:r>
          </w:p>
        </w:tc>
      </w:tr>
      <w:tr w:rsidR="003F015F"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F015F" w:rsidRPr="009D00EF" w:rsidRDefault="003F015F" w:rsidP="008F2B6A">
            <w:r w:rsidRPr="009D00EF">
              <w:rPr>
                <w:rFonts w:cs="Arial"/>
                <w:sz w:val="16"/>
                <w:szCs w:val="16"/>
              </w:rPr>
              <w:t>Article 4</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F015F" w:rsidRPr="009D00EF" w:rsidRDefault="003F015F" w:rsidP="008F2B6A">
            <w:r>
              <w:rPr>
                <w:rFonts w:cs="Arial"/>
                <w:sz w:val="16"/>
                <w:szCs w:val="16"/>
              </w:rPr>
              <w:t>Déroge à l’a</w:t>
            </w:r>
            <w:r w:rsidRPr="009D00EF">
              <w:rPr>
                <w:rFonts w:cs="Arial"/>
                <w:sz w:val="16"/>
                <w:szCs w:val="16"/>
              </w:rPr>
              <w:t>rticle 4</w:t>
            </w:r>
            <w:r>
              <w:rPr>
                <w:rFonts w:cs="Arial"/>
                <w:sz w:val="16"/>
                <w:szCs w:val="16"/>
              </w:rPr>
              <w:t>.</w:t>
            </w:r>
            <w:r w:rsidR="0038543A">
              <w:rPr>
                <w:rFonts w:cs="Arial"/>
                <w:sz w:val="16"/>
                <w:szCs w:val="16"/>
              </w:rPr>
              <w:t>1</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Pr="009D00EF" w:rsidRDefault="0038543A" w:rsidP="0038543A">
            <w:pPr>
              <w:rPr>
                <w:rFonts w:cs="Arial"/>
                <w:sz w:val="16"/>
                <w:szCs w:val="16"/>
              </w:rPr>
            </w:pPr>
            <w:r w:rsidRPr="009D00EF">
              <w:rPr>
                <w:rFonts w:cs="Arial"/>
                <w:sz w:val="16"/>
                <w:szCs w:val="16"/>
              </w:rPr>
              <w:t>Article 6.</w:t>
            </w:r>
            <w:r>
              <w:rPr>
                <w:rFonts w:cs="Arial"/>
                <w:sz w:val="16"/>
                <w:szCs w:val="16"/>
              </w:rPr>
              <w:t>2</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Pr="009D00EF" w:rsidRDefault="0038543A" w:rsidP="0038543A">
            <w:r>
              <w:rPr>
                <w:rFonts w:cs="Arial"/>
                <w:sz w:val="16"/>
                <w:szCs w:val="16"/>
              </w:rPr>
              <w:t>Déroge à l’a</w:t>
            </w:r>
            <w:r w:rsidRPr="009D00EF">
              <w:rPr>
                <w:rFonts w:cs="Arial"/>
                <w:sz w:val="16"/>
                <w:szCs w:val="16"/>
              </w:rPr>
              <w:t xml:space="preserve">rticle </w:t>
            </w:r>
            <w:r>
              <w:rPr>
                <w:rFonts w:cs="Arial"/>
                <w:sz w:val="16"/>
                <w:szCs w:val="16"/>
              </w:rPr>
              <w:t>28.4.2</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Pr="009D00EF" w:rsidRDefault="0038543A" w:rsidP="0038543A">
            <w:r w:rsidRPr="009D00EF">
              <w:rPr>
                <w:rFonts w:cs="Arial"/>
                <w:sz w:val="16"/>
                <w:szCs w:val="16"/>
              </w:rPr>
              <w:t>Article 6.</w:t>
            </w:r>
            <w:r>
              <w:rPr>
                <w:rFonts w:cs="Arial"/>
                <w:sz w:val="16"/>
                <w:szCs w:val="16"/>
              </w:rPr>
              <w:t>5.1 et 6.5.2</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Pr="009D00EF" w:rsidRDefault="0038543A" w:rsidP="0038543A">
            <w:r>
              <w:rPr>
                <w:rFonts w:cs="Arial"/>
                <w:sz w:val="16"/>
                <w:szCs w:val="16"/>
              </w:rPr>
              <w:t>Dérogent aux a</w:t>
            </w:r>
            <w:r w:rsidRPr="009D00EF">
              <w:rPr>
                <w:rFonts w:cs="Arial"/>
                <w:sz w:val="16"/>
                <w:szCs w:val="16"/>
              </w:rPr>
              <w:t>rticle</w:t>
            </w:r>
            <w:r>
              <w:rPr>
                <w:rFonts w:cs="Arial"/>
                <w:sz w:val="16"/>
                <w:szCs w:val="16"/>
              </w:rPr>
              <w:t>s</w:t>
            </w:r>
            <w:r w:rsidRPr="009D00EF">
              <w:rPr>
                <w:rFonts w:cs="Arial"/>
                <w:sz w:val="16"/>
                <w:szCs w:val="16"/>
              </w:rPr>
              <w:t xml:space="preserve"> 3.1.2 </w:t>
            </w:r>
            <w:r w:rsidRPr="00CE3F51">
              <w:rPr>
                <w:rFonts w:cs="Arial"/>
                <w:sz w:val="16"/>
                <w:szCs w:val="16"/>
              </w:rPr>
              <w:t xml:space="preserve">et </w:t>
            </w:r>
            <w:r w:rsidRPr="00CE3F51">
              <w:rPr>
                <w:rFonts w:cs="Arial"/>
                <w:bCs/>
                <w:sz w:val="16"/>
                <w:szCs w:val="16"/>
              </w:rPr>
              <w:t>3.4.3</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Pr="00FA4C99" w:rsidRDefault="0038543A" w:rsidP="0038543A">
            <w:r w:rsidRPr="00FA4C99">
              <w:rPr>
                <w:rFonts w:cs="Arial"/>
                <w:sz w:val="16"/>
                <w:szCs w:val="16"/>
              </w:rPr>
              <w:t>Article 8</w:t>
            </w:r>
            <w:r>
              <w:rPr>
                <w:rFonts w:cs="Arial"/>
                <w:sz w:val="16"/>
                <w:szCs w:val="16"/>
              </w:rPr>
              <w:t>.1</w:t>
            </w:r>
            <w:r w:rsidRPr="00FA4C99">
              <w:rPr>
                <w:rFonts w:cs="Arial"/>
                <w:sz w:val="16"/>
                <w:szCs w:val="16"/>
              </w:rPr>
              <w:t xml:space="preserve"> relatif aux personnes qui effectuent la vérification et aux délais de vérification</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Pr="00FA4C99" w:rsidRDefault="0038543A" w:rsidP="0038543A">
            <w:pPr>
              <w:rPr>
                <w:rFonts w:cs="Arial"/>
                <w:sz w:val="16"/>
                <w:szCs w:val="16"/>
              </w:rPr>
            </w:pPr>
            <w:r>
              <w:rPr>
                <w:rFonts w:cs="Arial"/>
                <w:sz w:val="16"/>
                <w:szCs w:val="16"/>
              </w:rPr>
              <w:t>Déroge à l’a</w:t>
            </w:r>
            <w:r w:rsidRPr="00FA4C99">
              <w:rPr>
                <w:rFonts w:cs="Arial"/>
                <w:sz w:val="16"/>
                <w:szCs w:val="16"/>
              </w:rPr>
              <w:t xml:space="preserve">rticle 20.3.2 </w:t>
            </w:r>
          </w:p>
          <w:p w:rsidR="0038543A" w:rsidRPr="00FA4C99" w:rsidRDefault="0038543A" w:rsidP="0038543A">
            <w:pPr>
              <w:rPr>
                <w:rFonts w:cs="Arial"/>
                <w:sz w:val="16"/>
                <w:szCs w:val="16"/>
              </w:rPr>
            </w:pPr>
            <w:r w:rsidRPr="00FA4C99">
              <w:rPr>
                <w:rFonts w:cs="Arial"/>
                <w:sz w:val="16"/>
                <w:szCs w:val="16"/>
              </w:rPr>
              <w:t xml:space="preserve">  </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Pr="00FA4C99" w:rsidRDefault="0038543A" w:rsidP="0038543A">
            <w:pPr>
              <w:rPr>
                <w:rFonts w:cs="Arial"/>
                <w:sz w:val="16"/>
                <w:szCs w:val="16"/>
              </w:rPr>
            </w:pPr>
            <w:r>
              <w:rPr>
                <w:rFonts w:cs="Arial"/>
                <w:sz w:val="16"/>
                <w:szCs w:val="16"/>
              </w:rPr>
              <w:t>Article 8.2 relatif aux admissions</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Pr="00FA4C99" w:rsidRDefault="0038543A" w:rsidP="0038543A">
            <w:pPr>
              <w:rPr>
                <w:rFonts w:cs="Arial"/>
                <w:sz w:val="16"/>
                <w:szCs w:val="16"/>
              </w:rPr>
            </w:pPr>
            <w:r>
              <w:rPr>
                <w:rFonts w:cs="Arial"/>
                <w:sz w:val="16"/>
                <w:szCs w:val="16"/>
              </w:rPr>
              <w:t>Complète l’article 21</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r>
              <w:rPr>
                <w:rFonts w:cs="Arial"/>
                <w:sz w:val="16"/>
                <w:szCs w:val="16"/>
              </w:rPr>
              <w:t>Article 9.1.3 relatif aux prix</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pPr>
              <w:rPr>
                <w:rFonts w:cs="Arial"/>
                <w:sz w:val="16"/>
                <w:szCs w:val="16"/>
              </w:rPr>
            </w:pPr>
            <w:r>
              <w:rPr>
                <w:rFonts w:cs="Arial"/>
                <w:sz w:val="16"/>
                <w:szCs w:val="16"/>
              </w:rPr>
              <w:t>Complète et déroge à l’a</w:t>
            </w:r>
            <w:r w:rsidRPr="009D00EF">
              <w:rPr>
                <w:rFonts w:cs="Arial"/>
                <w:sz w:val="16"/>
                <w:szCs w:val="16"/>
              </w:rPr>
              <w:t>rticle 10.1.3</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pPr>
              <w:rPr>
                <w:rFonts w:cs="Arial"/>
                <w:sz w:val="16"/>
                <w:szCs w:val="16"/>
              </w:rPr>
            </w:pPr>
            <w:r>
              <w:rPr>
                <w:rFonts w:cs="Arial"/>
                <w:sz w:val="16"/>
                <w:szCs w:val="16"/>
              </w:rPr>
              <w:t>Article 9.2.2 relatif à la clause de réexamen</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pPr>
              <w:rPr>
                <w:rFonts w:cs="Arial"/>
                <w:sz w:val="16"/>
                <w:szCs w:val="16"/>
              </w:rPr>
            </w:pPr>
            <w:r>
              <w:rPr>
                <w:rFonts w:cs="Arial"/>
                <w:sz w:val="16"/>
                <w:szCs w:val="16"/>
              </w:rPr>
              <w:t>Déroge à l’a</w:t>
            </w:r>
            <w:r w:rsidRPr="00FA4C99">
              <w:rPr>
                <w:rFonts w:cs="Arial"/>
                <w:sz w:val="16"/>
                <w:szCs w:val="16"/>
              </w:rPr>
              <w:t>rticle</w:t>
            </w:r>
            <w:r>
              <w:rPr>
                <w:rFonts w:cs="Arial"/>
                <w:sz w:val="16"/>
                <w:szCs w:val="16"/>
              </w:rPr>
              <w:t xml:space="preserve"> 26</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r>
              <w:rPr>
                <w:rFonts w:cs="Arial"/>
                <w:sz w:val="16"/>
                <w:szCs w:val="16"/>
              </w:rPr>
              <w:t xml:space="preserve">Article 10.1.7 </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Pr="0038543A" w:rsidRDefault="0038543A" w:rsidP="0038543A">
            <w:pPr>
              <w:rPr>
                <w:rFonts w:cs="Arial"/>
                <w:sz w:val="16"/>
                <w:szCs w:val="16"/>
              </w:rPr>
            </w:pPr>
            <w:r>
              <w:rPr>
                <w:rFonts w:cs="Arial"/>
                <w:sz w:val="16"/>
                <w:szCs w:val="16"/>
              </w:rPr>
              <w:t>Déroge à l’a</w:t>
            </w:r>
            <w:r w:rsidRPr="00FA4C99">
              <w:rPr>
                <w:rFonts w:cs="Arial"/>
                <w:sz w:val="16"/>
                <w:szCs w:val="16"/>
              </w:rPr>
              <w:t xml:space="preserve">rticle </w:t>
            </w:r>
            <w:r>
              <w:rPr>
                <w:rFonts w:cs="Arial"/>
                <w:sz w:val="16"/>
                <w:szCs w:val="16"/>
              </w:rPr>
              <w:t>41</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pPr>
              <w:snapToGrid w:val="0"/>
              <w:rPr>
                <w:rFonts w:cs="Arial"/>
                <w:sz w:val="16"/>
                <w:szCs w:val="16"/>
              </w:rPr>
            </w:pPr>
            <w:r>
              <w:rPr>
                <w:rFonts w:cs="Arial"/>
                <w:sz w:val="16"/>
                <w:szCs w:val="16"/>
              </w:rPr>
              <w:t>Article 10.5 relatif à l’avance</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pPr>
              <w:snapToGrid w:val="0"/>
              <w:rPr>
                <w:rFonts w:cs="Arial"/>
                <w:sz w:val="16"/>
                <w:szCs w:val="16"/>
              </w:rPr>
            </w:pPr>
            <w:r>
              <w:rPr>
                <w:rFonts w:cs="Arial"/>
                <w:sz w:val="16"/>
                <w:szCs w:val="16"/>
              </w:rPr>
              <w:t>Déroge à l’article A11.1</w:t>
            </w:r>
          </w:p>
        </w:tc>
      </w:tr>
      <w:tr w:rsidR="0038543A" w:rsidTr="008F2B6A">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Pr="009D00EF" w:rsidRDefault="0038543A" w:rsidP="0038543A">
            <w:r w:rsidRPr="009D00EF">
              <w:rPr>
                <w:rFonts w:cs="Arial"/>
                <w:sz w:val="16"/>
                <w:szCs w:val="16"/>
              </w:rPr>
              <w:t>Article 11 pénalités</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Pr="009D00EF" w:rsidRDefault="0038543A" w:rsidP="0038543A">
            <w:r>
              <w:rPr>
                <w:rFonts w:cs="Arial"/>
                <w:sz w:val="16"/>
                <w:szCs w:val="16"/>
              </w:rPr>
              <w:t>Déroge aux a</w:t>
            </w:r>
            <w:r w:rsidRPr="009D00EF">
              <w:rPr>
                <w:rFonts w:cs="Arial"/>
                <w:sz w:val="16"/>
                <w:szCs w:val="16"/>
              </w:rPr>
              <w:t>rticle</w:t>
            </w:r>
            <w:r>
              <w:rPr>
                <w:rFonts w:cs="Arial"/>
                <w:sz w:val="16"/>
                <w:szCs w:val="16"/>
              </w:rPr>
              <w:t xml:space="preserve">s 16 (dont </w:t>
            </w:r>
            <w:r w:rsidRPr="009D00EF">
              <w:rPr>
                <w:rFonts w:cs="Arial"/>
                <w:sz w:val="16"/>
                <w:szCs w:val="16"/>
              </w:rPr>
              <w:t>16.</w:t>
            </w:r>
            <w:r>
              <w:rPr>
                <w:rFonts w:cs="Arial"/>
                <w:sz w:val="16"/>
                <w:szCs w:val="16"/>
              </w:rPr>
              <w:t>2</w:t>
            </w:r>
            <w:r w:rsidRPr="009D00EF">
              <w:rPr>
                <w:rFonts w:cs="Arial"/>
                <w:sz w:val="16"/>
                <w:szCs w:val="16"/>
              </w:rPr>
              <w:t>.1, 16.</w:t>
            </w:r>
            <w:r>
              <w:rPr>
                <w:rFonts w:cs="Arial"/>
                <w:sz w:val="16"/>
                <w:szCs w:val="16"/>
              </w:rPr>
              <w:t>2</w:t>
            </w:r>
            <w:r w:rsidRPr="009D00EF">
              <w:rPr>
                <w:rFonts w:cs="Arial"/>
                <w:sz w:val="16"/>
                <w:szCs w:val="16"/>
              </w:rPr>
              <w:t>.2, 16.</w:t>
            </w:r>
            <w:r>
              <w:rPr>
                <w:rFonts w:cs="Arial"/>
                <w:sz w:val="16"/>
                <w:szCs w:val="16"/>
              </w:rPr>
              <w:t>2</w:t>
            </w:r>
            <w:r w:rsidRPr="009D00EF">
              <w:rPr>
                <w:rFonts w:cs="Arial"/>
                <w:sz w:val="16"/>
                <w:szCs w:val="16"/>
              </w:rPr>
              <w:t>.4</w:t>
            </w:r>
            <w:r>
              <w:rPr>
                <w:rFonts w:cs="Arial"/>
                <w:sz w:val="16"/>
                <w:szCs w:val="16"/>
              </w:rPr>
              <w:t>)</w:t>
            </w:r>
            <w:r w:rsidRPr="009D00EF">
              <w:rPr>
                <w:rFonts w:cs="Arial"/>
                <w:sz w:val="16"/>
                <w:szCs w:val="16"/>
              </w:rPr>
              <w:t xml:space="preserve"> et 3.6.3</w:t>
            </w:r>
          </w:p>
        </w:tc>
      </w:tr>
      <w:tr w:rsidR="0038543A" w:rsidTr="008F2B6A">
        <w:trPr>
          <w:trHeight w:val="192"/>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38543A" w:rsidRDefault="0038543A" w:rsidP="0038543A">
            <w:r>
              <w:rPr>
                <w:rFonts w:cs="Arial"/>
                <w:sz w:val="16"/>
                <w:szCs w:val="16"/>
              </w:rPr>
              <w:t>Article 14 en sa partie résiliation pour faute</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38543A" w:rsidRPr="00CE5398" w:rsidRDefault="0038543A" w:rsidP="0038543A">
            <w:pPr>
              <w:rPr>
                <w:rFonts w:cs="Arial"/>
                <w:szCs w:val="18"/>
                <w:highlight w:val="cyan"/>
              </w:rPr>
            </w:pPr>
            <w:r>
              <w:rPr>
                <w:rFonts w:cs="Arial"/>
                <w:sz w:val="16"/>
                <w:szCs w:val="16"/>
              </w:rPr>
              <w:t>Déroge à l’article 30</w:t>
            </w:r>
          </w:p>
        </w:tc>
      </w:tr>
    </w:tbl>
    <w:p w:rsidR="003F015F" w:rsidRDefault="003F015F" w:rsidP="003F015F">
      <w:pPr>
        <w:rPr>
          <w:rFonts w:cs="Arial"/>
          <w:color w:val="00B0F0"/>
          <w:szCs w:val="18"/>
        </w:rPr>
      </w:pPr>
    </w:p>
    <w:p w:rsidR="00D305BA" w:rsidRPr="00865E44" w:rsidRDefault="00D305BA" w:rsidP="00D305BA">
      <w:pPr>
        <w:shd w:val="clear" w:color="auto" w:fill="DEEAF6"/>
        <w:spacing w:before="240" w:after="60"/>
        <w:jc w:val="center"/>
        <w:outlineLvl w:val="0"/>
        <w:rPr>
          <w:b/>
          <w:bCs/>
          <w:kern w:val="28"/>
          <w:sz w:val="20"/>
          <w:szCs w:val="32"/>
        </w:rPr>
      </w:pPr>
      <w:bookmarkStart w:id="331" w:name="_Toc33009932"/>
      <w:bookmarkStart w:id="332" w:name="_Toc119597445"/>
      <w:r w:rsidRPr="00865E44">
        <w:rPr>
          <w:b/>
          <w:bCs/>
          <w:kern w:val="28"/>
          <w:sz w:val="20"/>
          <w:szCs w:val="32"/>
        </w:rPr>
        <w:t>MODALITES DE PASSATION DES MARCHES SUBSEQUENTS</w:t>
      </w:r>
      <w:bookmarkEnd w:id="331"/>
      <w:bookmarkEnd w:id="332"/>
    </w:p>
    <w:p w:rsidR="00D305BA" w:rsidRDefault="00D305BA" w:rsidP="00D305BA">
      <w:pPr>
        <w:rPr>
          <w:rFonts w:cs="Arial"/>
          <w:color w:val="00B0F0"/>
          <w:szCs w:val="18"/>
        </w:rPr>
      </w:pPr>
    </w:p>
    <w:p w:rsidR="00D305BA" w:rsidRPr="006E078B" w:rsidRDefault="00D305BA" w:rsidP="00DA780F">
      <w:pPr>
        <w:rPr>
          <w:rFonts w:cs="Arial"/>
          <w:szCs w:val="18"/>
        </w:rPr>
      </w:pPr>
      <w:r>
        <w:rPr>
          <w:rFonts w:cs="Arial"/>
          <w:szCs w:val="18"/>
        </w:rPr>
        <w:t>Les marchés subséquents sont passés conformément aux dispositions des a</w:t>
      </w:r>
      <w:r w:rsidRPr="006E078B">
        <w:rPr>
          <w:rFonts w:cs="Arial"/>
          <w:szCs w:val="18"/>
        </w:rPr>
        <w:t>rticles R2162-2 à R2162-6 et R2162-7 à R2162-</w:t>
      </w:r>
      <w:r>
        <w:rPr>
          <w:rFonts w:cs="Arial"/>
          <w:szCs w:val="18"/>
        </w:rPr>
        <w:t>9</w:t>
      </w:r>
      <w:r w:rsidRPr="006E078B">
        <w:rPr>
          <w:rFonts w:cs="Arial"/>
          <w:szCs w:val="18"/>
        </w:rPr>
        <w:t xml:space="preserve"> du Code de la Commande Publique.</w:t>
      </w:r>
    </w:p>
    <w:p w:rsidR="00D305BA" w:rsidRPr="0038543A" w:rsidRDefault="00D305BA" w:rsidP="00DA780F">
      <w:pPr>
        <w:rPr>
          <w:rFonts w:ascii="Arial" w:hAnsi="Arial" w:cs="Arial"/>
          <w:iCs/>
          <w:sz w:val="10"/>
          <w:szCs w:val="10"/>
        </w:rPr>
      </w:pPr>
    </w:p>
    <w:p w:rsidR="00D305BA" w:rsidRPr="00772941" w:rsidRDefault="00D305BA" w:rsidP="00DA780F">
      <w:pPr>
        <w:rPr>
          <w:rFonts w:cs="Arial"/>
          <w:iCs/>
          <w:szCs w:val="18"/>
        </w:rPr>
      </w:pPr>
      <w:r w:rsidRPr="00772941">
        <w:rPr>
          <w:rFonts w:cs="Arial"/>
          <w:iCs/>
          <w:szCs w:val="18"/>
        </w:rPr>
        <w:t>A</w:t>
      </w:r>
      <w:r w:rsidRPr="00772941">
        <w:rPr>
          <w:rFonts w:cs="Arial"/>
          <w:iCs/>
          <w:szCs w:val="18"/>
          <w:lang w:val="x-none"/>
        </w:rPr>
        <w:t xml:space="preserve"> survenance du besoin</w:t>
      </w:r>
      <w:r w:rsidRPr="00772941">
        <w:rPr>
          <w:rFonts w:cs="Arial"/>
          <w:bCs/>
          <w:iCs/>
          <w:szCs w:val="18"/>
        </w:rPr>
        <w:t xml:space="preserve">, </w:t>
      </w:r>
      <w:r w:rsidRPr="00772941">
        <w:rPr>
          <w:rFonts w:cs="Arial"/>
          <w:iCs/>
          <w:szCs w:val="18"/>
        </w:rPr>
        <w:t>le pouvoir adjudicateur passe un marché subséquent</w:t>
      </w:r>
      <w:r w:rsidRPr="00772941">
        <w:rPr>
          <w:rFonts w:cs="Arial"/>
          <w:bCs/>
          <w:iCs/>
          <w:szCs w:val="18"/>
        </w:rPr>
        <w:t xml:space="preserve"> avec le titulaire de l’accord-cadre</w:t>
      </w:r>
      <w:r w:rsidRPr="00772941">
        <w:rPr>
          <w:rFonts w:cs="Arial"/>
          <w:iCs/>
          <w:szCs w:val="18"/>
          <w:lang w:val="x-none"/>
        </w:rPr>
        <w:t>.</w:t>
      </w:r>
    </w:p>
    <w:p w:rsidR="00D305BA" w:rsidRPr="00772941" w:rsidRDefault="00D305BA" w:rsidP="00DA780F">
      <w:pPr>
        <w:rPr>
          <w:rFonts w:cs="Arial"/>
          <w:iCs/>
          <w:sz w:val="8"/>
          <w:szCs w:val="8"/>
          <w:lang w:val="x-none"/>
        </w:rPr>
      </w:pPr>
    </w:p>
    <w:p w:rsidR="00D305BA" w:rsidRPr="00772941" w:rsidRDefault="00D305BA" w:rsidP="00DA780F">
      <w:pPr>
        <w:rPr>
          <w:szCs w:val="20"/>
        </w:rPr>
      </w:pPr>
      <w:r w:rsidRPr="00772941">
        <w:rPr>
          <w:rFonts w:cs="Arial"/>
          <w:iCs/>
          <w:szCs w:val="18"/>
        </w:rPr>
        <w:t>Pour cela, A</w:t>
      </w:r>
      <w:r>
        <w:rPr>
          <w:rFonts w:cs="Arial"/>
          <w:iCs/>
          <w:szCs w:val="18"/>
        </w:rPr>
        <w:t>ix-</w:t>
      </w:r>
      <w:r w:rsidRPr="00772941">
        <w:rPr>
          <w:rFonts w:cs="Arial"/>
          <w:iCs/>
          <w:szCs w:val="18"/>
        </w:rPr>
        <w:t>M</w:t>
      </w:r>
      <w:r>
        <w:rPr>
          <w:rFonts w:cs="Arial"/>
          <w:iCs/>
          <w:szCs w:val="18"/>
        </w:rPr>
        <w:t xml:space="preserve">arseille </w:t>
      </w:r>
      <w:r w:rsidRPr="00772941">
        <w:rPr>
          <w:rFonts w:cs="Arial"/>
          <w:iCs/>
          <w:szCs w:val="18"/>
        </w:rPr>
        <w:t>U</w:t>
      </w:r>
      <w:r>
        <w:rPr>
          <w:rFonts w:cs="Arial"/>
          <w:iCs/>
          <w:szCs w:val="18"/>
        </w:rPr>
        <w:t>niversité</w:t>
      </w:r>
      <w:r w:rsidRPr="00772941">
        <w:rPr>
          <w:rFonts w:cs="Arial"/>
          <w:iCs/>
          <w:szCs w:val="18"/>
        </w:rPr>
        <w:t xml:space="preserve"> consulte par écrit </w:t>
      </w:r>
      <w:r w:rsidRPr="00772941">
        <w:rPr>
          <w:szCs w:val="20"/>
        </w:rPr>
        <w:t>le titulaire de l’accord-cadre mono-attributaire afin qu’il complète son offre.</w:t>
      </w:r>
    </w:p>
    <w:p w:rsidR="00D305BA" w:rsidRPr="00DA780F" w:rsidRDefault="00D305BA" w:rsidP="00D305BA">
      <w:pPr>
        <w:rPr>
          <w:rFonts w:cs="Arial"/>
          <w:iCs/>
          <w:sz w:val="10"/>
          <w:szCs w:val="10"/>
        </w:rPr>
      </w:pPr>
    </w:p>
    <w:p w:rsidR="00D305BA" w:rsidRDefault="00D305BA" w:rsidP="00D305BA">
      <w:pPr>
        <w:rPr>
          <w:i/>
          <w:sz w:val="16"/>
          <w:szCs w:val="16"/>
        </w:rPr>
      </w:pPr>
      <w:r w:rsidRPr="00D305BA">
        <w:rPr>
          <w:i/>
          <w:sz w:val="16"/>
          <w:szCs w:val="16"/>
        </w:rPr>
        <w:t xml:space="preserve">REMARQUE : l’attribution des marchés fondés sur un accord-cadre mono-attributaire n’est précédée d’aucune procédure particulière, en effet, les conditions de concurrence n’existant plus, il n’y a pas de mesures de publicité ou de mise en concurrence. Il est demandé au titulaire de l’accord-cadre de compléter son offre pour répondre au besoin défini dans le marché subséquent concerné. </w:t>
      </w:r>
    </w:p>
    <w:p w:rsidR="00D305BA" w:rsidRPr="00D305BA" w:rsidRDefault="00D305BA" w:rsidP="00D305BA">
      <w:pPr>
        <w:rPr>
          <w:i/>
          <w:sz w:val="16"/>
          <w:szCs w:val="16"/>
        </w:rPr>
      </w:pPr>
    </w:p>
    <w:p w:rsidR="00D305BA" w:rsidRPr="006E078B" w:rsidRDefault="00D305BA" w:rsidP="00D305BA">
      <w:pPr>
        <w:rPr>
          <w:rFonts w:ascii="Arial" w:hAnsi="Arial" w:cs="Arial"/>
          <w:iCs/>
          <w:color w:val="00B0F0"/>
          <w:sz w:val="8"/>
          <w:szCs w:val="8"/>
        </w:rPr>
      </w:pPr>
    </w:p>
    <w:p w:rsidR="00D305BA" w:rsidRDefault="00D305BA" w:rsidP="00D305BA">
      <w:pPr>
        <w:pStyle w:val="TITRE100"/>
      </w:pPr>
      <w:bookmarkStart w:id="333" w:name="_Toc119597446"/>
      <w:bookmarkStart w:id="334" w:name="_Toc148692646"/>
      <w:r>
        <w:t xml:space="preserve">ARTICLE 17 - </w:t>
      </w:r>
      <w:r w:rsidRPr="006E078B">
        <w:t>DELAI DE RECEPTION DES OFFRES</w:t>
      </w:r>
      <w:bookmarkEnd w:id="333"/>
      <w:bookmarkEnd w:id="334"/>
      <w:r w:rsidRPr="006E078B">
        <w:t> </w:t>
      </w:r>
    </w:p>
    <w:p w:rsidR="00D305BA" w:rsidRPr="006E078B" w:rsidRDefault="00D305BA" w:rsidP="00D305BA"/>
    <w:p w:rsidR="00D305BA" w:rsidRPr="006E078B" w:rsidRDefault="00D305BA" w:rsidP="00D305BA">
      <w:pPr>
        <w:rPr>
          <w:rFonts w:cs="Arial"/>
          <w:bCs/>
          <w:szCs w:val="18"/>
        </w:rPr>
      </w:pPr>
      <w:r w:rsidRPr="006E078B">
        <w:rPr>
          <w:rFonts w:cs="Arial"/>
          <w:bCs/>
          <w:szCs w:val="18"/>
        </w:rPr>
        <w:t>Pour chaque marché subséquent pris sur le fondement du présent accord-cadre, le pouvoir adjudicateur fixe un délai pour la réception des offres en tenant compte du contexte de l’achat (complexité des prestations attend</w:t>
      </w:r>
      <w:r>
        <w:rPr>
          <w:rFonts w:cs="Arial"/>
          <w:bCs/>
          <w:szCs w:val="18"/>
        </w:rPr>
        <w:t>u</w:t>
      </w:r>
      <w:r w:rsidRPr="006E078B">
        <w:rPr>
          <w:rFonts w:cs="Arial"/>
          <w:bCs/>
          <w:szCs w:val="18"/>
        </w:rPr>
        <w:t xml:space="preserve">es, visite, temps nécessaire à la transmission de </w:t>
      </w:r>
      <w:r>
        <w:rPr>
          <w:rFonts w:cs="Arial"/>
          <w:bCs/>
          <w:szCs w:val="18"/>
        </w:rPr>
        <w:t>l’</w:t>
      </w:r>
      <w:r w:rsidRPr="006E078B">
        <w:rPr>
          <w:rFonts w:cs="Arial"/>
          <w:bCs/>
          <w:szCs w:val="18"/>
        </w:rPr>
        <w:t xml:space="preserve">offre). Ce délai est mentionné dans le règlement de la consultation du marché subséquent concerné. </w:t>
      </w:r>
    </w:p>
    <w:p w:rsidR="00D305BA" w:rsidRPr="00DA780F" w:rsidRDefault="00D305BA" w:rsidP="00D305BA">
      <w:pPr>
        <w:rPr>
          <w:rFonts w:cs="Arial"/>
          <w:bCs/>
          <w:sz w:val="10"/>
          <w:szCs w:val="10"/>
        </w:rPr>
      </w:pPr>
    </w:p>
    <w:p w:rsidR="00D305BA" w:rsidRDefault="00D305BA" w:rsidP="00D305BA">
      <w:pPr>
        <w:rPr>
          <w:rFonts w:cs="Arial"/>
          <w:bCs/>
          <w:szCs w:val="18"/>
        </w:rPr>
      </w:pPr>
      <w:r w:rsidRPr="006E078B">
        <w:rPr>
          <w:rFonts w:cs="Arial"/>
          <w:bCs/>
          <w:szCs w:val="18"/>
        </w:rPr>
        <w:t xml:space="preserve">Le délai de réception de </w:t>
      </w:r>
      <w:r>
        <w:rPr>
          <w:rFonts w:cs="Arial"/>
          <w:bCs/>
          <w:szCs w:val="18"/>
        </w:rPr>
        <w:t>l’</w:t>
      </w:r>
      <w:r w:rsidRPr="006E078B">
        <w:rPr>
          <w:rFonts w:cs="Arial"/>
          <w:bCs/>
          <w:szCs w:val="18"/>
        </w:rPr>
        <w:t>offre</w:t>
      </w:r>
      <w:r>
        <w:rPr>
          <w:rFonts w:cs="Arial"/>
          <w:bCs/>
          <w:szCs w:val="18"/>
        </w:rPr>
        <w:t xml:space="preserve"> </w:t>
      </w:r>
      <w:r w:rsidRPr="006E078B">
        <w:rPr>
          <w:rFonts w:cs="Arial"/>
          <w:bCs/>
          <w:szCs w:val="18"/>
        </w:rPr>
        <w:t xml:space="preserve">ne peut pas être inférieur </w:t>
      </w:r>
      <w:r w:rsidRPr="006E078B">
        <w:rPr>
          <w:rFonts w:cs="Arial"/>
          <w:b/>
          <w:bCs/>
          <w:szCs w:val="18"/>
        </w:rPr>
        <w:t xml:space="preserve">à </w:t>
      </w:r>
      <w:r>
        <w:rPr>
          <w:rFonts w:cs="Arial"/>
          <w:b/>
          <w:bCs/>
          <w:szCs w:val="18"/>
        </w:rPr>
        <w:t>quatre (4)</w:t>
      </w:r>
      <w:r w:rsidRPr="006E078B">
        <w:rPr>
          <w:rFonts w:cs="Arial"/>
          <w:b/>
          <w:bCs/>
          <w:szCs w:val="18"/>
        </w:rPr>
        <w:t xml:space="preserve"> jours ouvrés</w:t>
      </w:r>
      <w:r w:rsidRPr="006E078B">
        <w:rPr>
          <w:rFonts w:cs="Arial"/>
          <w:bCs/>
          <w:szCs w:val="18"/>
        </w:rPr>
        <w:t>, à compter de l’envoi de la consultation au titulaire de l’accord cadre.</w:t>
      </w:r>
    </w:p>
    <w:p w:rsidR="00D305BA" w:rsidRPr="00775779" w:rsidRDefault="00D305BA" w:rsidP="00D305BA">
      <w:pPr>
        <w:rPr>
          <w:rFonts w:cs="Arial"/>
          <w:bCs/>
          <w:szCs w:val="18"/>
        </w:rPr>
      </w:pPr>
    </w:p>
    <w:p w:rsidR="00D305BA" w:rsidRPr="006E078B" w:rsidRDefault="00D305BA" w:rsidP="00D305BA">
      <w:pPr>
        <w:pStyle w:val="TITRE100"/>
      </w:pPr>
      <w:bookmarkStart w:id="335" w:name="_Toc119597447"/>
      <w:bookmarkStart w:id="336" w:name="_Toc148692647"/>
      <w:r>
        <w:t xml:space="preserve">ARTICLE 18 - </w:t>
      </w:r>
      <w:r w:rsidRPr="00292C84">
        <w:t>DOSSIER DE CONSULTATION DES M</w:t>
      </w:r>
      <w:r>
        <w:t xml:space="preserve">ARCHES </w:t>
      </w:r>
      <w:r w:rsidRPr="00292C84">
        <w:t>S</w:t>
      </w:r>
      <w:r>
        <w:t>UBSEQUENTS</w:t>
      </w:r>
      <w:bookmarkEnd w:id="335"/>
      <w:bookmarkEnd w:id="336"/>
    </w:p>
    <w:p w:rsidR="00D305BA" w:rsidRDefault="00D305BA" w:rsidP="00D305BA">
      <w:pPr>
        <w:rPr>
          <w:rFonts w:ascii="Arial" w:hAnsi="Arial" w:cs="Arial"/>
          <w:b/>
          <w:iCs/>
          <w:szCs w:val="18"/>
          <w:u w:val="single"/>
        </w:rPr>
      </w:pPr>
    </w:p>
    <w:p w:rsidR="00D305BA" w:rsidRPr="006E078B" w:rsidRDefault="00D305BA" w:rsidP="00D305BA">
      <w:pPr>
        <w:rPr>
          <w:rFonts w:cs="Arial"/>
          <w:bCs/>
          <w:szCs w:val="18"/>
        </w:rPr>
      </w:pPr>
      <w:r w:rsidRPr="006E078B">
        <w:rPr>
          <w:rFonts w:cs="Arial"/>
          <w:bCs/>
          <w:szCs w:val="18"/>
        </w:rPr>
        <w:t>Les pièces fournies dans le dossier de la consultation de chaque procédure sont :</w:t>
      </w:r>
    </w:p>
    <w:p w:rsidR="00D305BA" w:rsidRPr="006E078B" w:rsidRDefault="00D305BA" w:rsidP="008F2B6A">
      <w:pPr>
        <w:numPr>
          <w:ilvl w:val="0"/>
          <w:numId w:val="37"/>
        </w:numPr>
        <w:rPr>
          <w:rFonts w:cs="Arial"/>
          <w:bCs/>
          <w:szCs w:val="18"/>
        </w:rPr>
      </w:pPr>
      <w:r w:rsidRPr="006E078B">
        <w:rPr>
          <w:rFonts w:cs="Arial"/>
          <w:bCs/>
          <w:szCs w:val="18"/>
        </w:rPr>
        <w:t>L</w:t>
      </w:r>
      <w:r>
        <w:rPr>
          <w:rFonts w:cs="Arial"/>
          <w:bCs/>
          <w:szCs w:val="18"/>
        </w:rPr>
        <w:t>a Lettre</w:t>
      </w:r>
      <w:r w:rsidRPr="006E078B">
        <w:rPr>
          <w:rFonts w:cs="Arial"/>
          <w:bCs/>
          <w:szCs w:val="18"/>
        </w:rPr>
        <w:t xml:space="preserve"> de consultation du </w:t>
      </w:r>
      <w:r>
        <w:rPr>
          <w:rFonts w:cs="Arial"/>
          <w:bCs/>
          <w:szCs w:val="18"/>
        </w:rPr>
        <w:t>marché subséquent</w:t>
      </w:r>
      <w:r w:rsidRPr="006E078B">
        <w:rPr>
          <w:rFonts w:cs="Arial"/>
          <w:bCs/>
          <w:szCs w:val="18"/>
        </w:rPr>
        <w:t xml:space="preserve"> et ses annexes éventuelles ;</w:t>
      </w:r>
    </w:p>
    <w:p w:rsidR="00D305BA" w:rsidRDefault="00D305BA" w:rsidP="008F2B6A">
      <w:pPr>
        <w:numPr>
          <w:ilvl w:val="0"/>
          <w:numId w:val="37"/>
        </w:numPr>
        <w:rPr>
          <w:rFonts w:cs="Arial"/>
          <w:bCs/>
          <w:szCs w:val="18"/>
        </w:rPr>
      </w:pPr>
      <w:r w:rsidRPr="006E078B">
        <w:rPr>
          <w:rFonts w:cs="Arial"/>
          <w:bCs/>
          <w:szCs w:val="18"/>
        </w:rPr>
        <w:t xml:space="preserve">le CCP valant AE </w:t>
      </w:r>
      <w:r>
        <w:rPr>
          <w:rFonts w:cs="Arial"/>
          <w:bCs/>
          <w:szCs w:val="18"/>
        </w:rPr>
        <w:t>comprenant le programme des travaux ;</w:t>
      </w:r>
    </w:p>
    <w:p w:rsidR="00D305BA" w:rsidRDefault="00D305BA" w:rsidP="008F2B6A">
      <w:pPr>
        <w:numPr>
          <w:ilvl w:val="0"/>
          <w:numId w:val="37"/>
        </w:numPr>
        <w:rPr>
          <w:rFonts w:cs="Arial"/>
          <w:bCs/>
          <w:szCs w:val="18"/>
        </w:rPr>
      </w:pPr>
      <w:r>
        <w:rPr>
          <w:rFonts w:cs="Arial"/>
          <w:bCs/>
          <w:szCs w:val="18"/>
        </w:rPr>
        <w:t>l’</w:t>
      </w:r>
      <w:r w:rsidRPr="006E078B">
        <w:rPr>
          <w:rFonts w:cs="Arial"/>
          <w:bCs/>
          <w:szCs w:val="18"/>
        </w:rPr>
        <w:t>annexe financière </w:t>
      </w:r>
      <w:r>
        <w:rPr>
          <w:rFonts w:cs="Arial"/>
          <w:bCs/>
          <w:szCs w:val="18"/>
        </w:rPr>
        <w:t xml:space="preserve">du CCP-AE </w:t>
      </w:r>
      <w:r w:rsidRPr="006E078B">
        <w:rPr>
          <w:rFonts w:cs="Arial"/>
          <w:bCs/>
          <w:szCs w:val="18"/>
        </w:rPr>
        <w:t>;</w:t>
      </w:r>
    </w:p>
    <w:p w:rsidR="00D305BA" w:rsidRPr="006E078B" w:rsidRDefault="00D305BA" w:rsidP="008F2B6A">
      <w:pPr>
        <w:numPr>
          <w:ilvl w:val="0"/>
          <w:numId w:val="37"/>
        </w:numPr>
        <w:rPr>
          <w:rFonts w:cs="Arial"/>
          <w:bCs/>
          <w:szCs w:val="18"/>
        </w:rPr>
      </w:pPr>
      <w:r w:rsidRPr="006E078B">
        <w:rPr>
          <w:rFonts w:cs="Arial"/>
          <w:bCs/>
          <w:szCs w:val="18"/>
        </w:rPr>
        <w:t xml:space="preserve">les annexes techniques du CCP valant AE comprenant par exemple : </w:t>
      </w:r>
    </w:p>
    <w:p w:rsidR="00D305BA" w:rsidRDefault="00D305BA" w:rsidP="008F2B6A">
      <w:pPr>
        <w:numPr>
          <w:ilvl w:val="1"/>
          <w:numId w:val="37"/>
        </w:numPr>
        <w:rPr>
          <w:rFonts w:cs="Arial"/>
          <w:bCs/>
          <w:szCs w:val="18"/>
        </w:rPr>
      </w:pPr>
      <w:r>
        <w:rPr>
          <w:rFonts w:cs="Arial"/>
          <w:bCs/>
          <w:szCs w:val="18"/>
        </w:rPr>
        <w:t>l</w:t>
      </w:r>
      <w:r w:rsidRPr="006E078B">
        <w:rPr>
          <w:rFonts w:cs="Arial"/>
          <w:bCs/>
          <w:szCs w:val="18"/>
        </w:rPr>
        <w:t>es plans du site</w:t>
      </w:r>
      <w:r>
        <w:rPr>
          <w:rFonts w:cs="Arial"/>
          <w:bCs/>
          <w:szCs w:val="18"/>
        </w:rPr>
        <w:t>,</w:t>
      </w:r>
    </w:p>
    <w:p w:rsidR="00D305BA" w:rsidRPr="00292C84" w:rsidRDefault="00D305BA" w:rsidP="008F2B6A">
      <w:pPr>
        <w:numPr>
          <w:ilvl w:val="1"/>
          <w:numId w:val="37"/>
        </w:numPr>
        <w:suppressAutoHyphens/>
        <w:jc w:val="left"/>
        <w:rPr>
          <w:rFonts w:cs="Arial"/>
          <w:bCs/>
          <w:szCs w:val="18"/>
        </w:rPr>
      </w:pPr>
      <w:r w:rsidRPr="00292C84">
        <w:rPr>
          <w:rFonts w:cs="Arial"/>
          <w:bCs/>
          <w:szCs w:val="18"/>
        </w:rPr>
        <w:t>le calendrier prévisionnel de l’opération</w:t>
      </w:r>
      <w:r>
        <w:rPr>
          <w:rFonts w:cs="Arial"/>
          <w:bCs/>
          <w:szCs w:val="18"/>
        </w:rPr>
        <w:t>,</w:t>
      </w:r>
    </w:p>
    <w:p w:rsidR="00D305BA" w:rsidRDefault="00D305BA" w:rsidP="008F2B6A">
      <w:pPr>
        <w:numPr>
          <w:ilvl w:val="1"/>
          <w:numId w:val="37"/>
        </w:numPr>
        <w:rPr>
          <w:rFonts w:cs="Arial"/>
          <w:bCs/>
          <w:szCs w:val="18"/>
        </w:rPr>
      </w:pPr>
      <w:r>
        <w:rPr>
          <w:rFonts w:cs="Arial"/>
          <w:bCs/>
          <w:szCs w:val="18"/>
        </w:rPr>
        <w:t>des diagnostics,</w:t>
      </w:r>
    </w:p>
    <w:p w:rsidR="00D305BA" w:rsidRPr="006E078B" w:rsidRDefault="00D305BA" w:rsidP="008F2B6A">
      <w:pPr>
        <w:numPr>
          <w:ilvl w:val="1"/>
          <w:numId w:val="37"/>
        </w:numPr>
        <w:rPr>
          <w:rFonts w:cs="Arial"/>
          <w:bCs/>
          <w:szCs w:val="18"/>
        </w:rPr>
      </w:pPr>
      <w:r>
        <w:rPr>
          <w:rFonts w:cs="Arial"/>
          <w:bCs/>
          <w:szCs w:val="18"/>
        </w:rPr>
        <w:t>des DOE ;</w:t>
      </w:r>
    </w:p>
    <w:p w:rsidR="00D305BA" w:rsidRDefault="00D305BA" w:rsidP="008F2B6A">
      <w:pPr>
        <w:numPr>
          <w:ilvl w:val="0"/>
          <w:numId w:val="37"/>
        </w:numPr>
        <w:rPr>
          <w:rFonts w:cs="Arial"/>
          <w:bCs/>
          <w:szCs w:val="18"/>
        </w:rPr>
      </w:pPr>
      <w:r>
        <w:rPr>
          <w:rFonts w:cs="Arial"/>
          <w:bCs/>
          <w:szCs w:val="18"/>
        </w:rPr>
        <w:t>a</w:t>
      </w:r>
      <w:r w:rsidRPr="006E078B">
        <w:rPr>
          <w:rFonts w:cs="Arial"/>
          <w:bCs/>
          <w:szCs w:val="18"/>
        </w:rPr>
        <w:t xml:space="preserve">utres pièces mentionnées dans le </w:t>
      </w:r>
      <w:r w:rsidRPr="005975EA">
        <w:rPr>
          <w:rFonts w:cs="Arial"/>
          <w:bCs/>
          <w:szCs w:val="18"/>
        </w:rPr>
        <w:t>marché subséquent</w:t>
      </w:r>
      <w:r w:rsidRPr="006E078B">
        <w:rPr>
          <w:rFonts w:cs="Arial"/>
          <w:bCs/>
          <w:szCs w:val="18"/>
        </w:rPr>
        <w:t>.</w:t>
      </w:r>
    </w:p>
    <w:p w:rsidR="00D305BA" w:rsidRPr="006E078B" w:rsidRDefault="00D305BA" w:rsidP="00D305BA">
      <w:pPr>
        <w:rPr>
          <w:rFonts w:cs="Arial"/>
          <w:bCs/>
          <w:szCs w:val="18"/>
        </w:rPr>
      </w:pPr>
    </w:p>
    <w:p w:rsidR="00D305BA" w:rsidRPr="006E078B" w:rsidRDefault="00D305BA" w:rsidP="00D305BA">
      <w:pPr>
        <w:pStyle w:val="TITRE100"/>
      </w:pPr>
      <w:bookmarkStart w:id="337" w:name="_Toc119597448"/>
      <w:bookmarkStart w:id="338" w:name="_Toc148692648"/>
      <w:r>
        <w:t xml:space="preserve">ARTICLE 19 - </w:t>
      </w:r>
      <w:r w:rsidRPr="006E078B">
        <w:t>MODALITE</w:t>
      </w:r>
      <w:r>
        <w:t>S</w:t>
      </w:r>
      <w:r w:rsidRPr="006E078B">
        <w:t xml:space="preserve"> DE PRESENTATION DES OFFRES</w:t>
      </w:r>
      <w:bookmarkEnd w:id="337"/>
      <w:bookmarkEnd w:id="338"/>
      <w:r w:rsidRPr="006E078B">
        <w:t> </w:t>
      </w:r>
    </w:p>
    <w:p w:rsidR="00D305BA" w:rsidRPr="006E078B" w:rsidRDefault="00D305BA" w:rsidP="00D305BA">
      <w:pPr>
        <w:rPr>
          <w:rFonts w:ascii="Arial" w:hAnsi="Arial" w:cs="Arial"/>
          <w:iCs/>
          <w:szCs w:val="18"/>
        </w:rPr>
      </w:pPr>
    </w:p>
    <w:p w:rsidR="00D305BA" w:rsidRPr="00772941" w:rsidRDefault="00D305BA" w:rsidP="00D305BA">
      <w:pPr>
        <w:rPr>
          <w:szCs w:val="18"/>
        </w:rPr>
      </w:pPr>
      <w:r w:rsidRPr="00772941">
        <w:rPr>
          <w:rFonts w:cs="Arial"/>
          <w:iCs/>
          <w:szCs w:val="18"/>
        </w:rPr>
        <w:t>Le titulaire devra remettre une offre conformément aux caractéristiques de l’accord</w:t>
      </w:r>
      <w:r>
        <w:rPr>
          <w:rFonts w:cs="Arial"/>
          <w:iCs/>
          <w:szCs w:val="18"/>
        </w:rPr>
        <w:t>-</w:t>
      </w:r>
      <w:r w:rsidRPr="00772941">
        <w:rPr>
          <w:rFonts w:cs="Arial"/>
          <w:iCs/>
          <w:szCs w:val="18"/>
        </w:rPr>
        <w:t xml:space="preserve">cadre et au dossier de la consultation propre </w:t>
      </w:r>
      <w:r>
        <w:rPr>
          <w:rFonts w:cs="Arial"/>
          <w:iCs/>
          <w:szCs w:val="18"/>
        </w:rPr>
        <w:t>de chaque</w:t>
      </w:r>
      <w:r w:rsidRPr="00772941">
        <w:rPr>
          <w:rFonts w:cs="Arial"/>
          <w:iCs/>
          <w:szCs w:val="18"/>
        </w:rPr>
        <w:t xml:space="preserve"> marché subséquent.</w:t>
      </w:r>
      <w:r w:rsidRPr="00772941">
        <w:rPr>
          <w:szCs w:val="18"/>
        </w:rPr>
        <w:t xml:space="preserve"> </w:t>
      </w:r>
    </w:p>
    <w:p w:rsidR="00D305BA" w:rsidRPr="00772941" w:rsidRDefault="00D305BA" w:rsidP="00D305BA">
      <w:pPr>
        <w:rPr>
          <w:szCs w:val="18"/>
        </w:rPr>
      </w:pPr>
      <w:r w:rsidRPr="00772941">
        <w:rPr>
          <w:szCs w:val="18"/>
        </w:rPr>
        <w:t xml:space="preserve">Le titulaire est tenu de s’informer des caractéristiques des sites (particularités, accessibilité…). Le titulaire </w:t>
      </w:r>
      <w:r>
        <w:rPr>
          <w:szCs w:val="18"/>
        </w:rPr>
        <w:t>de l’accord-cadre</w:t>
      </w:r>
      <w:r w:rsidRPr="00772941">
        <w:rPr>
          <w:szCs w:val="18"/>
        </w:rPr>
        <w:t xml:space="preserve"> est réputé avoir pris connaissance des lieux avant la remise de son offre</w:t>
      </w:r>
      <w:r>
        <w:rPr>
          <w:szCs w:val="18"/>
        </w:rPr>
        <w:t xml:space="preserve"> pour chaque marché subséquent</w:t>
      </w:r>
      <w:r w:rsidRPr="00772941">
        <w:rPr>
          <w:szCs w:val="18"/>
        </w:rPr>
        <w:t>. Il ne peut donc arguer d’ignorances quelconques à ce sujet pour prétendre à des suppléments de prix ou à des prolongations de délais lors des marchés subséquents.</w:t>
      </w:r>
    </w:p>
    <w:p w:rsidR="00D305BA" w:rsidRDefault="00D305BA" w:rsidP="00D305BA">
      <w:pPr>
        <w:rPr>
          <w:szCs w:val="18"/>
        </w:rPr>
      </w:pPr>
    </w:p>
    <w:p w:rsidR="00D305BA" w:rsidRPr="00772941" w:rsidRDefault="00D305BA" w:rsidP="00D305BA">
      <w:pPr>
        <w:rPr>
          <w:szCs w:val="18"/>
        </w:rPr>
      </w:pPr>
      <w:r w:rsidRPr="00772941">
        <w:rPr>
          <w:szCs w:val="18"/>
        </w:rPr>
        <w:t>En réponse à chaque consultation, le titulaire de l’accor</w:t>
      </w:r>
      <w:r>
        <w:rPr>
          <w:szCs w:val="18"/>
        </w:rPr>
        <w:t>d-</w:t>
      </w:r>
      <w:r w:rsidRPr="00772941">
        <w:rPr>
          <w:szCs w:val="18"/>
        </w:rPr>
        <w:t>cadre remet </w:t>
      </w:r>
      <w:r w:rsidR="00F01B06">
        <w:rPr>
          <w:szCs w:val="18"/>
        </w:rPr>
        <w:t>l</w:t>
      </w:r>
      <w:r w:rsidRPr="00772941">
        <w:rPr>
          <w:szCs w:val="18"/>
        </w:rPr>
        <w:t xml:space="preserve">e CCP valant acte d’engagement et son annexe financière complétés et signés ainsi que les autres </w:t>
      </w:r>
      <w:r w:rsidRPr="00772941">
        <w:rPr>
          <w:rFonts w:cs="Verdana"/>
          <w:szCs w:val="18"/>
        </w:rPr>
        <w:t xml:space="preserve">pièces telles que demandées le cas échéant dans la lettre </w:t>
      </w:r>
      <w:r w:rsidRPr="00772941">
        <w:rPr>
          <w:rFonts w:cs="Arial"/>
          <w:iCs/>
          <w:szCs w:val="18"/>
        </w:rPr>
        <w:t>demande de complément de l’offre</w:t>
      </w:r>
      <w:r w:rsidRPr="00772941">
        <w:rPr>
          <w:rFonts w:cs="Verdana"/>
          <w:szCs w:val="18"/>
        </w:rPr>
        <w:t xml:space="preserve">. </w:t>
      </w:r>
    </w:p>
    <w:p w:rsidR="00D305BA" w:rsidRPr="00772941" w:rsidRDefault="00D305BA" w:rsidP="00D305BA">
      <w:pPr>
        <w:rPr>
          <w:szCs w:val="18"/>
        </w:rPr>
      </w:pPr>
      <w:r w:rsidRPr="00772941">
        <w:rPr>
          <w:rFonts w:cs="Verdana"/>
          <w:szCs w:val="18"/>
        </w:rPr>
        <w:t xml:space="preserve">Les modalités de transmission des offres (ex : voie électronique, papier) sont indiquées dans la lettre de </w:t>
      </w:r>
      <w:r w:rsidRPr="00775779">
        <w:rPr>
          <w:rFonts w:cs="Verdana"/>
          <w:szCs w:val="18"/>
        </w:rPr>
        <w:t>consultation</w:t>
      </w:r>
      <w:r w:rsidRPr="00772941">
        <w:rPr>
          <w:rFonts w:cs="Verdana"/>
          <w:szCs w:val="18"/>
        </w:rPr>
        <w:t>.</w:t>
      </w:r>
    </w:p>
    <w:p w:rsidR="00D305BA" w:rsidRPr="00775779" w:rsidRDefault="00D305BA" w:rsidP="00D305BA">
      <w:pPr>
        <w:rPr>
          <w:b/>
          <w:szCs w:val="18"/>
        </w:rPr>
      </w:pPr>
    </w:p>
    <w:p w:rsidR="00D305BA" w:rsidRPr="007052A3" w:rsidRDefault="00D305BA" w:rsidP="00D305BA">
      <w:pPr>
        <w:rPr>
          <w:b/>
          <w:iCs/>
          <w:szCs w:val="18"/>
        </w:rPr>
      </w:pPr>
      <w:r w:rsidRPr="00772941">
        <w:rPr>
          <w:b/>
          <w:szCs w:val="18"/>
        </w:rPr>
        <w:t xml:space="preserve">Attention </w:t>
      </w:r>
      <w:r w:rsidRPr="00775779">
        <w:rPr>
          <w:b/>
          <w:szCs w:val="18"/>
        </w:rPr>
        <w:t>les taux d'honoraire</w:t>
      </w:r>
      <w:r>
        <w:rPr>
          <w:b/>
          <w:szCs w:val="18"/>
        </w:rPr>
        <w:t>s</w:t>
      </w:r>
      <w:r w:rsidRPr="00775779">
        <w:rPr>
          <w:b/>
          <w:szCs w:val="18"/>
        </w:rPr>
        <w:t xml:space="preserve"> </w:t>
      </w:r>
      <w:r w:rsidRPr="007052A3">
        <w:rPr>
          <w:b/>
          <w:iCs/>
          <w:szCs w:val="18"/>
        </w:rPr>
        <w:t xml:space="preserve">indiqués dans l’annexe financière de l’accord-cadre sont considérés comme des « taux plafonds » </w:t>
      </w:r>
      <w:r w:rsidRPr="007052A3">
        <w:rPr>
          <w:b/>
          <w:iCs/>
          <w:szCs w:val="18"/>
          <w:u w:val="single"/>
        </w:rPr>
        <w:t xml:space="preserve">devant être </w:t>
      </w:r>
      <w:r>
        <w:rPr>
          <w:b/>
          <w:iCs/>
          <w:szCs w:val="18"/>
          <w:u w:val="single"/>
        </w:rPr>
        <w:t xml:space="preserve">strictement </w:t>
      </w:r>
      <w:r w:rsidRPr="007052A3">
        <w:rPr>
          <w:b/>
          <w:iCs/>
          <w:szCs w:val="18"/>
          <w:u w:val="single"/>
        </w:rPr>
        <w:t>respectés pour l’élaboration des marchés subséquents.</w:t>
      </w:r>
    </w:p>
    <w:p w:rsidR="00D305BA" w:rsidRPr="00DA780F" w:rsidRDefault="00D305BA" w:rsidP="00D305BA">
      <w:pPr>
        <w:rPr>
          <w:sz w:val="10"/>
          <w:szCs w:val="10"/>
        </w:rPr>
      </w:pPr>
    </w:p>
    <w:p w:rsidR="00D305BA" w:rsidRDefault="00D305BA" w:rsidP="00D305BA">
      <w:pPr>
        <w:rPr>
          <w:szCs w:val="18"/>
        </w:rPr>
      </w:pPr>
      <w:r w:rsidRPr="00775779">
        <w:rPr>
          <w:szCs w:val="18"/>
        </w:rPr>
        <w:t>En effet, ceux-ci ont pour objet la détermination du prix provisoire des missions. Ces mêmes taux sont également utilisés pour la détermination de la rémunération forfaitaire définitive des missions de maitrise d'œuvre à l'issue de la phase APD sur la base du coût définitif des travaux. En cas de groupement d'opérateurs économiques, le soumissionnaire joint également un document de répartition entre les membres du groupement.</w:t>
      </w:r>
    </w:p>
    <w:p w:rsidR="00D305BA" w:rsidRPr="00772941" w:rsidRDefault="00D305BA" w:rsidP="00D305BA">
      <w:pPr>
        <w:rPr>
          <w:b/>
          <w:szCs w:val="18"/>
        </w:rPr>
      </w:pPr>
    </w:p>
    <w:p w:rsidR="00D305BA" w:rsidRPr="006E078B" w:rsidRDefault="00D305BA" w:rsidP="00D305BA">
      <w:pPr>
        <w:rPr>
          <w:rFonts w:ascii="Arial" w:hAnsi="Arial" w:cs="Arial"/>
          <w:sz w:val="8"/>
          <w:szCs w:val="8"/>
        </w:rPr>
      </w:pPr>
    </w:p>
    <w:p w:rsidR="00D305BA" w:rsidRPr="00772941" w:rsidRDefault="00D305BA" w:rsidP="00D305BA">
      <w:pPr>
        <w:pStyle w:val="TITRE100"/>
      </w:pPr>
      <w:bookmarkStart w:id="339" w:name="_Toc119597449"/>
      <w:bookmarkStart w:id="340" w:name="_Toc148692649"/>
      <w:r>
        <w:t xml:space="preserve">ARTICLE 20 - </w:t>
      </w:r>
      <w:r w:rsidRPr="006E078B">
        <w:t>DELAI DE VALIDITE DES OFFRES DU MARCHE SUBSEQUENT</w:t>
      </w:r>
      <w:bookmarkEnd w:id="339"/>
      <w:bookmarkEnd w:id="340"/>
      <w:r w:rsidRPr="006E078B">
        <w:t> </w:t>
      </w:r>
    </w:p>
    <w:p w:rsidR="00D305BA" w:rsidRDefault="00D305BA" w:rsidP="00D305BA">
      <w:pPr>
        <w:rPr>
          <w:rFonts w:ascii="Arial" w:hAnsi="Arial" w:cs="Arial"/>
          <w:szCs w:val="20"/>
        </w:rPr>
      </w:pPr>
    </w:p>
    <w:p w:rsidR="00D305BA" w:rsidRDefault="00D305BA" w:rsidP="00D305BA">
      <w:pPr>
        <w:rPr>
          <w:rFonts w:cs="Arial"/>
          <w:b/>
          <w:bCs/>
          <w:szCs w:val="18"/>
        </w:rPr>
      </w:pPr>
      <w:r w:rsidRPr="00772941">
        <w:rPr>
          <w:rFonts w:cs="Arial"/>
          <w:bCs/>
          <w:szCs w:val="18"/>
        </w:rPr>
        <w:t>Sauf</w:t>
      </w:r>
      <w:r w:rsidRPr="006E078B">
        <w:rPr>
          <w:rFonts w:cs="Arial"/>
          <w:bCs/>
          <w:szCs w:val="18"/>
        </w:rPr>
        <w:t xml:space="preserve"> disposition contraire mentionné dans l</w:t>
      </w:r>
      <w:r>
        <w:rPr>
          <w:rFonts w:cs="Arial"/>
          <w:bCs/>
          <w:szCs w:val="18"/>
        </w:rPr>
        <w:t>a lettre</w:t>
      </w:r>
      <w:r w:rsidRPr="00772941">
        <w:rPr>
          <w:rFonts w:cs="Arial"/>
          <w:bCs/>
          <w:szCs w:val="18"/>
        </w:rPr>
        <w:t xml:space="preserve"> de la consultation associé à chaque </w:t>
      </w:r>
      <w:r w:rsidRPr="006E078B">
        <w:rPr>
          <w:rFonts w:cs="Arial"/>
          <w:bCs/>
          <w:szCs w:val="18"/>
        </w:rPr>
        <w:t xml:space="preserve">marché subséquent, le délai de validité des offres est de </w:t>
      </w:r>
      <w:r w:rsidRPr="00772941">
        <w:rPr>
          <w:rFonts w:cs="Arial"/>
          <w:b/>
          <w:bCs/>
          <w:szCs w:val="18"/>
        </w:rPr>
        <w:t>quarante (</w:t>
      </w:r>
      <w:r w:rsidRPr="006E078B">
        <w:rPr>
          <w:rFonts w:cs="Arial"/>
          <w:b/>
          <w:bCs/>
          <w:szCs w:val="18"/>
        </w:rPr>
        <w:t>40</w:t>
      </w:r>
      <w:r w:rsidRPr="00772941">
        <w:rPr>
          <w:rFonts w:cs="Arial"/>
          <w:b/>
          <w:bCs/>
          <w:szCs w:val="18"/>
        </w:rPr>
        <w:t>)</w:t>
      </w:r>
      <w:r w:rsidRPr="006E078B">
        <w:rPr>
          <w:rFonts w:cs="Arial"/>
          <w:b/>
          <w:bCs/>
          <w:szCs w:val="18"/>
        </w:rPr>
        <w:t xml:space="preserve"> jours.</w:t>
      </w:r>
      <w:bookmarkEnd w:id="4"/>
      <w:bookmarkEnd w:id="298"/>
      <w:bookmarkEnd w:id="299"/>
      <w:bookmarkEnd w:id="300"/>
      <w:bookmarkEnd w:id="301"/>
      <w:bookmarkEnd w:id="302"/>
      <w:bookmarkEnd w:id="303"/>
      <w:bookmarkEnd w:id="304"/>
    </w:p>
    <w:p w:rsidR="00DA780F" w:rsidRPr="00D305BA" w:rsidRDefault="00DA780F" w:rsidP="00D305BA"/>
    <w:sectPr w:rsidR="00DA780F" w:rsidRPr="00D305BA" w:rsidSect="004F5C27">
      <w:pgSz w:w="11906" w:h="16838"/>
      <w:pgMar w:top="1134" w:right="1134" w:bottom="709" w:left="1134" w:header="709"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1C9C" w:rsidRDefault="00DD1C9C">
      <w:r>
        <w:separator/>
      </w:r>
    </w:p>
  </w:endnote>
  <w:endnote w:type="continuationSeparator" w:id="0">
    <w:p w:rsidR="00DD1C9C" w:rsidRDefault="00DD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tlanta">
    <w:charset w:val="00"/>
    <w:family w:val="swiss"/>
    <w:pitch w:val="variable"/>
    <w:sig w:usb0="00000003" w:usb1="00000000" w:usb2="00000000" w:usb3="00000000" w:csb0="00000001" w:csb1="00000000"/>
  </w:font>
  <w:font w:name="CG Omega">
    <w:altName w:val="Century Gothic"/>
    <w:panose1 w:val="00000000000000000000"/>
    <w:charset w:val="00"/>
    <w:family w:val="swiss"/>
    <w:notTrueType/>
    <w:pitch w:val="variable"/>
    <w:sig w:usb0="00000003" w:usb1="00000000" w:usb2="00000000" w:usb3="00000000" w:csb0="00000001" w:csb1="00000000"/>
  </w:font>
  <w:font w:name="AvantGarde">
    <w:altName w:val="Century Gothic"/>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C" w:rsidRDefault="00DD1C9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C" w:rsidRPr="00790C64" w:rsidRDefault="00DD1C9C" w:rsidP="00917F42">
    <w:pPr>
      <w:pStyle w:val="Pieddepage"/>
      <w:rPr>
        <w:sz w:val="16"/>
        <w:szCs w:val="16"/>
      </w:rPr>
    </w:pPr>
    <w:r>
      <w:rPr>
        <w:sz w:val="16"/>
        <w:szCs w:val="16"/>
      </w:rPr>
      <w:t xml:space="preserve">CCAP – AMU96-2023OF – PARAMED </w:t>
    </w:r>
    <w:r>
      <w:rPr>
        <w:sz w:val="16"/>
        <w:szCs w:val="16"/>
      </w:rPr>
      <w:tab/>
    </w:r>
    <w:r>
      <w:rPr>
        <w:sz w:val="16"/>
        <w:szCs w:val="16"/>
      </w:rPr>
      <w:tab/>
    </w:r>
    <w:r w:rsidRPr="00790C64">
      <w:rPr>
        <w:sz w:val="16"/>
        <w:szCs w:val="16"/>
      </w:rPr>
      <w:t xml:space="preserve">Page </w:t>
    </w:r>
    <w:r w:rsidRPr="00790C64">
      <w:rPr>
        <w:b/>
        <w:bCs/>
        <w:sz w:val="16"/>
        <w:szCs w:val="16"/>
      </w:rPr>
      <w:fldChar w:fldCharType="begin"/>
    </w:r>
    <w:r w:rsidRPr="00790C64">
      <w:rPr>
        <w:b/>
        <w:bCs/>
        <w:sz w:val="16"/>
        <w:szCs w:val="16"/>
      </w:rPr>
      <w:instrText>PAGE</w:instrText>
    </w:r>
    <w:r w:rsidRPr="00790C64">
      <w:rPr>
        <w:b/>
        <w:bCs/>
        <w:sz w:val="16"/>
        <w:szCs w:val="16"/>
      </w:rPr>
      <w:fldChar w:fldCharType="separate"/>
    </w:r>
    <w:r>
      <w:rPr>
        <w:b/>
        <w:bCs/>
        <w:noProof/>
        <w:sz w:val="16"/>
        <w:szCs w:val="16"/>
      </w:rPr>
      <w:t>4</w:t>
    </w:r>
    <w:r w:rsidRPr="00790C64">
      <w:rPr>
        <w:b/>
        <w:bCs/>
        <w:sz w:val="16"/>
        <w:szCs w:val="16"/>
      </w:rPr>
      <w:fldChar w:fldCharType="end"/>
    </w:r>
    <w:r w:rsidRPr="00790C64">
      <w:rPr>
        <w:sz w:val="16"/>
        <w:szCs w:val="16"/>
      </w:rPr>
      <w:t xml:space="preserve"> sur </w:t>
    </w:r>
    <w:r w:rsidRPr="00790C64">
      <w:rPr>
        <w:b/>
        <w:bCs/>
        <w:sz w:val="16"/>
        <w:szCs w:val="16"/>
      </w:rPr>
      <w:fldChar w:fldCharType="begin"/>
    </w:r>
    <w:r w:rsidRPr="00790C64">
      <w:rPr>
        <w:b/>
        <w:bCs/>
        <w:sz w:val="16"/>
        <w:szCs w:val="16"/>
      </w:rPr>
      <w:instrText>NUMPAGES</w:instrText>
    </w:r>
    <w:r w:rsidRPr="00790C64">
      <w:rPr>
        <w:b/>
        <w:bCs/>
        <w:sz w:val="16"/>
        <w:szCs w:val="16"/>
      </w:rPr>
      <w:fldChar w:fldCharType="separate"/>
    </w:r>
    <w:r>
      <w:rPr>
        <w:b/>
        <w:bCs/>
        <w:noProof/>
        <w:sz w:val="16"/>
        <w:szCs w:val="16"/>
      </w:rPr>
      <w:t>21</w:t>
    </w:r>
    <w:r w:rsidRPr="00790C64">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C" w:rsidRDefault="00DD1C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1C9C" w:rsidRDefault="00DD1C9C">
      <w:r>
        <w:separator/>
      </w:r>
    </w:p>
  </w:footnote>
  <w:footnote w:type="continuationSeparator" w:id="0">
    <w:p w:rsidR="00DD1C9C" w:rsidRDefault="00DD1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C" w:rsidRDefault="00DD1C9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C" w:rsidRDefault="00DD1C9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C9C" w:rsidRDefault="00DD1C9C">
    <w:pPr>
      <w:pStyle w:val="En-tte"/>
    </w:pPr>
    <w:r w:rsidRPr="00195C38">
      <w:rPr>
        <w:noProof/>
      </w:rPr>
      <w:drawing>
        <wp:inline distT="0" distB="0" distL="0" distR="0">
          <wp:extent cx="1800225" cy="619125"/>
          <wp:effectExtent l="0" t="0" r="0" b="0"/>
          <wp:docPr id="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abstractNum w:abstractNumId="0" w15:restartNumberingAfterBreak="0">
    <w:nsid w:val="FFFFFF89"/>
    <w:multiLevelType w:val="singleLevel"/>
    <w:tmpl w:val="78BEA62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0" w:firstLine="0"/>
      </w:pPr>
      <w:rPr>
        <w:rFonts w:ascii="Liberation Serif" w:hAnsi="Liberation Serif" w:cs="Arial"/>
      </w:rPr>
    </w:lvl>
  </w:abstractNum>
  <w:abstractNum w:abstractNumId="2" w15:restartNumberingAfterBreak="0">
    <w:nsid w:val="00000006"/>
    <w:multiLevelType w:val="singleLevel"/>
    <w:tmpl w:val="00000006"/>
    <w:name w:val="WW8Num18"/>
    <w:lvl w:ilvl="0">
      <w:start w:val="3"/>
      <w:numFmt w:val="bullet"/>
      <w:lvlText w:val="-"/>
      <w:lvlJc w:val="left"/>
      <w:pPr>
        <w:tabs>
          <w:tab w:val="num" w:pos="0"/>
        </w:tabs>
        <w:ind w:left="1788" w:hanging="360"/>
      </w:pPr>
      <w:rPr>
        <w:rFonts w:ascii="Liberation Serif" w:hAnsi="Liberation Serif"/>
      </w:rPr>
    </w:lvl>
  </w:abstractNum>
  <w:abstractNum w:abstractNumId="3" w15:restartNumberingAfterBreak="0">
    <w:nsid w:val="00000007"/>
    <w:multiLevelType w:val="singleLevel"/>
    <w:tmpl w:val="00000007"/>
    <w:name w:val="WW8Num7"/>
    <w:lvl w:ilvl="0">
      <w:numFmt w:val="bullet"/>
      <w:lvlText w:val=""/>
      <w:lvlJc w:val="left"/>
      <w:pPr>
        <w:tabs>
          <w:tab w:val="num" w:pos="567"/>
        </w:tabs>
        <w:ind w:left="567" w:hanging="283"/>
      </w:pPr>
      <w:rPr>
        <w:rFonts w:ascii="Symbol" w:hAnsi="Symbol" w:cs="Times New Roman"/>
      </w:rPr>
    </w:lvl>
  </w:abstractNum>
  <w:abstractNum w:abstractNumId="4" w15:restartNumberingAfterBreak="0">
    <w:nsid w:val="00000008"/>
    <w:multiLevelType w:val="singleLevel"/>
    <w:tmpl w:val="00000008"/>
    <w:name w:val="WW8Num28"/>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360"/>
        </w:tabs>
        <w:ind w:left="360" w:hanging="360"/>
      </w:pPr>
    </w:lvl>
  </w:abstractNum>
  <w:abstractNum w:abstractNumId="6" w15:restartNumberingAfterBreak="0">
    <w:nsid w:val="0000000D"/>
    <w:multiLevelType w:val="singleLevel"/>
    <w:tmpl w:val="0000000D"/>
    <w:name w:val="WW8Num41"/>
    <w:lvl w:ilvl="0">
      <w:start w:val="1"/>
      <w:numFmt w:val="bullet"/>
      <w:lvlText w:val=""/>
      <w:lvlJc w:val="left"/>
      <w:pPr>
        <w:tabs>
          <w:tab w:val="num" w:pos="360"/>
        </w:tabs>
        <w:ind w:left="360" w:hanging="360"/>
      </w:pPr>
      <w:rPr>
        <w:rFonts w:ascii="Wingdings" w:hAnsi="Wingdings" w:cs="Wingdings" w:hint="default"/>
      </w:rPr>
    </w:lvl>
  </w:abstractNum>
  <w:abstractNum w:abstractNumId="7" w15:restartNumberingAfterBreak="0">
    <w:nsid w:val="00183D71"/>
    <w:multiLevelType w:val="singleLevel"/>
    <w:tmpl w:val="040C0017"/>
    <w:lvl w:ilvl="0">
      <w:start w:val="1"/>
      <w:numFmt w:val="lowerLetter"/>
      <w:lvlText w:val="%1)"/>
      <w:lvlJc w:val="left"/>
      <w:pPr>
        <w:tabs>
          <w:tab w:val="num" w:pos="360"/>
        </w:tabs>
        <w:ind w:left="360" w:hanging="360"/>
      </w:pPr>
      <w:rPr>
        <w:rFonts w:hint="default"/>
        <w:b w:val="0"/>
      </w:rPr>
    </w:lvl>
  </w:abstractNum>
  <w:abstractNum w:abstractNumId="8" w15:restartNumberingAfterBreak="0">
    <w:nsid w:val="02B80EBB"/>
    <w:multiLevelType w:val="hybridMultilevel"/>
    <w:tmpl w:val="9CDAD726"/>
    <w:lvl w:ilvl="0" w:tplc="00000003">
      <w:start w:val="10"/>
      <w:numFmt w:val="bullet"/>
      <w:lvlText w:val="-"/>
      <w:lvlJc w:val="left"/>
      <w:pPr>
        <w:ind w:left="720" w:hanging="360"/>
      </w:pPr>
      <w:rPr>
        <w:rFonts w:ascii="Verdana"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51B0F42"/>
    <w:multiLevelType w:val="hybridMultilevel"/>
    <w:tmpl w:val="F3CA1918"/>
    <w:lvl w:ilvl="0" w:tplc="040C000D">
      <w:start w:val="1"/>
      <w:numFmt w:val="bullet"/>
      <w:lvlText w:val=""/>
      <w:lvlJc w:val="left"/>
      <w:pPr>
        <w:ind w:left="2574" w:hanging="360"/>
      </w:pPr>
      <w:rPr>
        <w:rFonts w:ascii="Wingdings" w:hAnsi="Wingdings" w:hint="default"/>
      </w:rPr>
    </w:lvl>
    <w:lvl w:ilvl="1" w:tplc="040C0003">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10" w15:restartNumberingAfterBreak="0">
    <w:nsid w:val="08D0369C"/>
    <w:multiLevelType w:val="hybridMultilevel"/>
    <w:tmpl w:val="A4DE7CE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0B421869"/>
    <w:multiLevelType w:val="hybridMultilevel"/>
    <w:tmpl w:val="7368BF38"/>
    <w:lvl w:ilvl="0" w:tplc="2B802292">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CDB5568"/>
    <w:multiLevelType w:val="hybridMultilevel"/>
    <w:tmpl w:val="60C288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E452B66"/>
    <w:multiLevelType w:val="hybridMultilevel"/>
    <w:tmpl w:val="665414FE"/>
    <w:lvl w:ilvl="0" w:tplc="DC4AAAF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464E86"/>
    <w:multiLevelType w:val="hybridMultilevel"/>
    <w:tmpl w:val="400C96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255DAB"/>
    <w:multiLevelType w:val="hybridMultilevel"/>
    <w:tmpl w:val="EBDE4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B141A7"/>
    <w:multiLevelType w:val="hybridMultilevel"/>
    <w:tmpl w:val="A5483834"/>
    <w:lvl w:ilvl="0" w:tplc="9C18BEB4">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1A2FAB"/>
    <w:multiLevelType w:val="hybridMultilevel"/>
    <w:tmpl w:val="DF0C58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08653C"/>
    <w:multiLevelType w:val="hybridMultilevel"/>
    <w:tmpl w:val="806045B4"/>
    <w:lvl w:ilvl="0" w:tplc="3D16C6A4">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A127E2"/>
    <w:multiLevelType w:val="hybridMultilevel"/>
    <w:tmpl w:val="96607C0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2A00BA"/>
    <w:multiLevelType w:val="hybridMultilevel"/>
    <w:tmpl w:val="52D630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740FF4"/>
    <w:multiLevelType w:val="hybridMultilevel"/>
    <w:tmpl w:val="8FB48C40"/>
    <w:lvl w:ilvl="0" w:tplc="3D16C6A4">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F73235"/>
    <w:multiLevelType w:val="hybridMultilevel"/>
    <w:tmpl w:val="9272C9AE"/>
    <w:lvl w:ilvl="0" w:tplc="FFFFFFFF">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CA1AC4"/>
    <w:multiLevelType w:val="hybridMultilevel"/>
    <w:tmpl w:val="0988ECB4"/>
    <w:lvl w:ilvl="0" w:tplc="296A4E44">
      <w:start w:val="3"/>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81E70D1"/>
    <w:multiLevelType w:val="hybridMultilevel"/>
    <w:tmpl w:val="7EB434BE"/>
    <w:lvl w:ilvl="0" w:tplc="DC4AAAF2">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49E927D3"/>
    <w:multiLevelType w:val="hybridMultilevel"/>
    <w:tmpl w:val="7BD4D6E8"/>
    <w:lvl w:ilvl="0" w:tplc="F074355C">
      <w:start w:val="75"/>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BC467D7"/>
    <w:multiLevelType w:val="hybridMultilevel"/>
    <w:tmpl w:val="C5B67FA4"/>
    <w:lvl w:ilvl="0" w:tplc="FFFFFFFF">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4F35FA"/>
    <w:multiLevelType w:val="hybridMultilevel"/>
    <w:tmpl w:val="CB9A65FA"/>
    <w:lvl w:ilvl="0" w:tplc="1D189A1A">
      <w:start w:val="1"/>
      <w:numFmt w:val="bullet"/>
      <w:lvlText w:val="-"/>
      <w:lvlJc w:val="left"/>
      <w:pPr>
        <w:ind w:left="720" w:hanging="360"/>
      </w:pPr>
      <w:rPr>
        <w:rFonts w:ascii="Verdana" w:eastAsia="Verdana"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516D1A"/>
    <w:multiLevelType w:val="hybridMultilevel"/>
    <w:tmpl w:val="16DA1324"/>
    <w:lvl w:ilvl="0" w:tplc="040C000D">
      <w:start w:val="1"/>
      <w:numFmt w:val="bullet"/>
      <w:lvlText w:val=""/>
      <w:lvlJc w:val="left"/>
      <w:pPr>
        <w:ind w:left="1080" w:hanging="360"/>
      </w:pPr>
      <w:rPr>
        <w:rFonts w:ascii="Wingdings" w:hAnsi="Wingdings" w:hint="default"/>
      </w:rPr>
    </w:lvl>
    <w:lvl w:ilvl="1" w:tplc="88968322">
      <w:numFmt w:val="bullet"/>
      <w:lvlText w:val="-"/>
      <w:lvlJc w:val="left"/>
      <w:pPr>
        <w:ind w:left="1800" w:hanging="360"/>
      </w:pPr>
      <w:rPr>
        <w:rFonts w:ascii="Verdana" w:eastAsia="Times New Roman" w:hAnsi="Verdana" w:cs="Aria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79A7E7A"/>
    <w:multiLevelType w:val="hybridMultilevel"/>
    <w:tmpl w:val="E39A2928"/>
    <w:lvl w:ilvl="0" w:tplc="00000003">
      <w:start w:val="10"/>
      <w:numFmt w:val="bullet"/>
      <w:lvlText w:val="-"/>
      <w:lvlJc w:val="left"/>
      <w:pPr>
        <w:ind w:left="720" w:hanging="360"/>
      </w:pPr>
      <w:rPr>
        <w:rFonts w:ascii="Verdana" w:hAnsi="Verdan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AA93C11"/>
    <w:multiLevelType w:val="hybridMultilevel"/>
    <w:tmpl w:val="1E8402C8"/>
    <w:lvl w:ilvl="0" w:tplc="00000003">
      <w:start w:val="10"/>
      <w:numFmt w:val="bullet"/>
      <w:lvlText w:val="-"/>
      <w:lvlJc w:val="left"/>
      <w:pPr>
        <w:ind w:left="720" w:hanging="360"/>
      </w:pPr>
      <w:rPr>
        <w:rFonts w:ascii="Verdana"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9659F3"/>
    <w:multiLevelType w:val="hybridMultilevel"/>
    <w:tmpl w:val="1AF4897E"/>
    <w:lvl w:ilvl="0" w:tplc="3D16C6A4">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D832C9"/>
    <w:multiLevelType w:val="hybridMultilevel"/>
    <w:tmpl w:val="064AA628"/>
    <w:lvl w:ilvl="0" w:tplc="040C000D">
      <w:start w:val="1"/>
      <w:numFmt w:val="bullet"/>
      <w:lvlText w:val=""/>
      <w:lvlJc w:val="left"/>
      <w:pPr>
        <w:ind w:left="1854" w:hanging="360"/>
      </w:pPr>
      <w:rPr>
        <w:rFonts w:ascii="Wingdings" w:hAnsi="Wingdings" w:hint="default"/>
      </w:rPr>
    </w:lvl>
    <w:lvl w:ilvl="1" w:tplc="040C000D">
      <w:start w:val="1"/>
      <w:numFmt w:val="bullet"/>
      <w:lvlText w:val=""/>
      <w:lvlJc w:val="left"/>
      <w:pPr>
        <w:ind w:left="2574" w:hanging="360"/>
      </w:pPr>
      <w:rPr>
        <w:rFonts w:ascii="Wingdings" w:hAnsi="Wingdings"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3" w15:restartNumberingAfterBreak="0">
    <w:nsid w:val="63A57DDC"/>
    <w:multiLevelType w:val="hybridMultilevel"/>
    <w:tmpl w:val="4386C6B6"/>
    <w:lvl w:ilvl="0" w:tplc="FFFFFFFF">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1836E7"/>
    <w:multiLevelType w:val="hybridMultilevel"/>
    <w:tmpl w:val="ACB08268"/>
    <w:lvl w:ilvl="0" w:tplc="FD0C3806">
      <w:start w:val="1"/>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BE6940"/>
    <w:multiLevelType w:val="hybridMultilevel"/>
    <w:tmpl w:val="F1F012EE"/>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6"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7766ADB"/>
    <w:multiLevelType w:val="hybridMultilevel"/>
    <w:tmpl w:val="2708C690"/>
    <w:lvl w:ilvl="0" w:tplc="FFFFFFFF">
      <w:start w:val="1"/>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AC58F4"/>
    <w:multiLevelType w:val="hybridMultilevel"/>
    <w:tmpl w:val="3A0C59B4"/>
    <w:lvl w:ilvl="0" w:tplc="834A4194">
      <w:start w:val="3"/>
      <w:numFmt w:val="bullet"/>
      <w:lvlText w:val=""/>
      <w:lvlJc w:val="left"/>
      <w:pPr>
        <w:ind w:left="1080" w:hanging="360"/>
      </w:pPr>
      <w:rPr>
        <w:rFonts w:ascii="Wingdings" w:eastAsia="Times New Roman"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721A30F2"/>
    <w:multiLevelType w:val="hybridMultilevel"/>
    <w:tmpl w:val="C3588F3E"/>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0" w15:restartNumberingAfterBreak="0">
    <w:nsid w:val="751044B3"/>
    <w:multiLevelType w:val="hybridMultilevel"/>
    <w:tmpl w:val="DE94580E"/>
    <w:lvl w:ilvl="0" w:tplc="00000003">
      <w:start w:val="10"/>
      <w:numFmt w:val="bullet"/>
      <w:lvlText w:val="-"/>
      <w:lvlJc w:val="left"/>
      <w:pPr>
        <w:ind w:left="720" w:hanging="360"/>
      </w:pPr>
      <w:rPr>
        <w:rFonts w:ascii="Verdana"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4250CF"/>
    <w:multiLevelType w:val="hybridMultilevel"/>
    <w:tmpl w:val="670CD89C"/>
    <w:lvl w:ilvl="0" w:tplc="74D2FCAE">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F565729"/>
    <w:multiLevelType w:val="hybridMultilevel"/>
    <w:tmpl w:val="1D92ADF4"/>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num w:numId="1">
    <w:abstractNumId w:val="0"/>
  </w:num>
  <w:num w:numId="2">
    <w:abstractNumId w:val="19"/>
  </w:num>
  <w:num w:numId="3">
    <w:abstractNumId w:val="38"/>
  </w:num>
  <w:num w:numId="4">
    <w:abstractNumId w:val="12"/>
  </w:num>
  <w:num w:numId="5">
    <w:abstractNumId w:val="39"/>
  </w:num>
  <w:num w:numId="6">
    <w:abstractNumId w:val="43"/>
  </w:num>
  <w:num w:numId="7">
    <w:abstractNumId w:val="28"/>
  </w:num>
  <w:num w:numId="8">
    <w:abstractNumId w:val="35"/>
  </w:num>
  <w:num w:numId="9">
    <w:abstractNumId w:val="10"/>
  </w:num>
  <w:num w:numId="10">
    <w:abstractNumId w:val="32"/>
  </w:num>
  <w:num w:numId="11">
    <w:abstractNumId w:val="9"/>
  </w:num>
  <w:num w:numId="12">
    <w:abstractNumId w:val="7"/>
  </w:num>
  <w:num w:numId="13">
    <w:abstractNumId w:val="41"/>
  </w:num>
  <w:num w:numId="14">
    <w:abstractNumId w:val="21"/>
  </w:num>
  <w:num w:numId="15">
    <w:abstractNumId w:val="31"/>
  </w:num>
  <w:num w:numId="16">
    <w:abstractNumId w:val="18"/>
  </w:num>
  <w:num w:numId="17">
    <w:abstractNumId w:val="16"/>
  </w:num>
  <w:num w:numId="18">
    <w:abstractNumId w:val="23"/>
  </w:num>
  <w:num w:numId="19">
    <w:abstractNumId w:val="42"/>
  </w:num>
  <w:num w:numId="20">
    <w:abstractNumId w:val="36"/>
  </w:num>
  <w:num w:numId="21">
    <w:abstractNumId w:val="26"/>
  </w:num>
  <w:num w:numId="22">
    <w:abstractNumId w:val="25"/>
  </w:num>
  <w:num w:numId="23">
    <w:abstractNumId w:val="29"/>
  </w:num>
  <w:num w:numId="24">
    <w:abstractNumId w:val="11"/>
  </w:num>
  <w:num w:numId="25">
    <w:abstractNumId w:val="34"/>
  </w:num>
  <w:num w:numId="26">
    <w:abstractNumId w:val="33"/>
  </w:num>
  <w:num w:numId="27">
    <w:abstractNumId w:val="22"/>
  </w:num>
  <w:num w:numId="28">
    <w:abstractNumId w:val="4"/>
  </w:num>
  <w:num w:numId="29">
    <w:abstractNumId w:val="1"/>
  </w:num>
  <w:num w:numId="30">
    <w:abstractNumId w:val="14"/>
  </w:num>
  <w:num w:numId="31">
    <w:abstractNumId w:val="20"/>
  </w:num>
  <w:num w:numId="32">
    <w:abstractNumId w:val="15"/>
  </w:num>
  <w:num w:numId="33">
    <w:abstractNumId w:val="30"/>
  </w:num>
  <w:num w:numId="34">
    <w:abstractNumId w:val="40"/>
  </w:num>
  <w:num w:numId="35">
    <w:abstractNumId w:val="8"/>
  </w:num>
  <w:num w:numId="36">
    <w:abstractNumId w:val="17"/>
  </w:num>
  <w:num w:numId="37">
    <w:abstractNumId w:val="37"/>
  </w:num>
  <w:num w:numId="38">
    <w:abstractNumId w:val="24"/>
  </w:num>
  <w:num w:numId="39">
    <w:abstractNumId w:val="2"/>
  </w:num>
  <w:num w:numId="40">
    <w:abstractNumId w:val="13"/>
  </w:num>
  <w:num w:numId="41">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D1E"/>
    <w:rsid w:val="00002CB0"/>
    <w:rsid w:val="00004270"/>
    <w:rsid w:val="0000478B"/>
    <w:rsid w:val="000105B8"/>
    <w:rsid w:val="00012D9E"/>
    <w:rsid w:val="00014E44"/>
    <w:rsid w:val="000156F0"/>
    <w:rsid w:val="00021483"/>
    <w:rsid w:val="00025560"/>
    <w:rsid w:val="00032829"/>
    <w:rsid w:val="00034933"/>
    <w:rsid w:val="000359D6"/>
    <w:rsid w:val="000438F0"/>
    <w:rsid w:val="00043934"/>
    <w:rsid w:val="0004745E"/>
    <w:rsid w:val="000523AC"/>
    <w:rsid w:val="0005345D"/>
    <w:rsid w:val="00062CD0"/>
    <w:rsid w:val="00064B2F"/>
    <w:rsid w:val="0006542D"/>
    <w:rsid w:val="000657CE"/>
    <w:rsid w:val="00071121"/>
    <w:rsid w:val="00071A71"/>
    <w:rsid w:val="00072283"/>
    <w:rsid w:val="00076933"/>
    <w:rsid w:val="0007777F"/>
    <w:rsid w:val="00080AAF"/>
    <w:rsid w:val="00081D5D"/>
    <w:rsid w:val="00083043"/>
    <w:rsid w:val="00084181"/>
    <w:rsid w:val="00084D15"/>
    <w:rsid w:val="00087A66"/>
    <w:rsid w:val="00087D85"/>
    <w:rsid w:val="00090BBF"/>
    <w:rsid w:val="00093613"/>
    <w:rsid w:val="000A0541"/>
    <w:rsid w:val="000A1E97"/>
    <w:rsid w:val="000A2B9D"/>
    <w:rsid w:val="000A3AF6"/>
    <w:rsid w:val="000B1959"/>
    <w:rsid w:val="000B2227"/>
    <w:rsid w:val="000B6C5C"/>
    <w:rsid w:val="000C5C84"/>
    <w:rsid w:val="000C67F9"/>
    <w:rsid w:val="000C7B78"/>
    <w:rsid w:val="000D53D6"/>
    <w:rsid w:val="000E0AEF"/>
    <w:rsid w:val="000E0D55"/>
    <w:rsid w:val="000E3B7A"/>
    <w:rsid w:val="000F2EEC"/>
    <w:rsid w:val="000F59EB"/>
    <w:rsid w:val="000F62B8"/>
    <w:rsid w:val="000F73F2"/>
    <w:rsid w:val="001016BF"/>
    <w:rsid w:val="00103EE0"/>
    <w:rsid w:val="00105D33"/>
    <w:rsid w:val="00106C60"/>
    <w:rsid w:val="001146A4"/>
    <w:rsid w:val="00114A94"/>
    <w:rsid w:val="00120B2B"/>
    <w:rsid w:val="00123689"/>
    <w:rsid w:val="0012387B"/>
    <w:rsid w:val="0012517C"/>
    <w:rsid w:val="001260A0"/>
    <w:rsid w:val="00133575"/>
    <w:rsid w:val="00135559"/>
    <w:rsid w:val="00136128"/>
    <w:rsid w:val="001371CB"/>
    <w:rsid w:val="00137AEB"/>
    <w:rsid w:val="00142A5E"/>
    <w:rsid w:val="00144943"/>
    <w:rsid w:val="00144D00"/>
    <w:rsid w:val="0014559C"/>
    <w:rsid w:val="0014646F"/>
    <w:rsid w:val="00147409"/>
    <w:rsid w:val="0015009D"/>
    <w:rsid w:val="001507E8"/>
    <w:rsid w:val="00150F34"/>
    <w:rsid w:val="00160944"/>
    <w:rsid w:val="0016273A"/>
    <w:rsid w:val="00162A4B"/>
    <w:rsid w:val="00163847"/>
    <w:rsid w:val="001641BA"/>
    <w:rsid w:val="00166288"/>
    <w:rsid w:val="001675E9"/>
    <w:rsid w:val="0017084F"/>
    <w:rsid w:val="00171873"/>
    <w:rsid w:val="00176D52"/>
    <w:rsid w:val="0018025F"/>
    <w:rsid w:val="00182F2C"/>
    <w:rsid w:val="00186DAD"/>
    <w:rsid w:val="00191DD4"/>
    <w:rsid w:val="00193B14"/>
    <w:rsid w:val="001946CC"/>
    <w:rsid w:val="00197660"/>
    <w:rsid w:val="001A549F"/>
    <w:rsid w:val="001B0C20"/>
    <w:rsid w:val="001B2D96"/>
    <w:rsid w:val="001B53BE"/>
    <w:rsid w:val="001C2BEB"/>
    <w:rsid w:val="001C6A15"/>
    <w:rsid w:val="001D2318"/>
    <w:rsid w:val="001D2A59"/>
    <w:rsid w:val="001D5007"/>
    <w:rsid w:val="001D69B2"/>
    <w:rsid w:val="001D6A25"/>
    <w:rsid w:val="001E08CE"/>
    <w:rsid w:val="001E3340"/>
    <w:rsid w:val="001E4A9D"/>
    <w:rsid w:val="001F0FFD"/>
    <w:rsid w:val="001F14A7"/>
    <w:rsid w:val="002002B3"/>
    <w:rsid w:val="00203B3F"/>
    <w:rsid w:val="00204888"/>
    <w:rsid w:val="00205E02"/>
    <w:rsid w:val="00205E2C"/>
    <w:rsid w:val="00207CF7"/>
    <w:rsid w:val="002107C2"/>
    <w:rsid w:val="00211A3A"/>
    <w:rsid w:val="00221598"/>
    <w:rsid w:val="0022213D"/>
    <w:rsid w:val="00223393"/>
    <w:rsid w:val="00224651"/>
    <w:rsid w:val="00225524"/>
    <w:rsid w:val="002269F4"/>
    <w:rsid w:val="00227299"/>
    <w:rsid w:val="00231E85"/>
    <w:rsid w:val="002323ED"/>
    <w:rsid w:val="0023325F"/>
    <w:rsid w:val="00243007"/>
    <w:rsid w:val="00244132"/>
    <w:rsid w:val="002445FD"/>
    <w:rsid w:val="00244A42"/>
    <w:rsid w:val="00246650"/>
    <w:rsid w:val="00252709"/>
    <w:rsid w:val="00253797"/>
    <w:rsid w:val="00254D7E"/>
    <w:rsid w:val="0026092B"/>
    <w:rsid w:val="00262186"/>
    <w:rsid w:val="00262B8C"/>
    <w:rsid w:val="00262D5F"/>
    <w:rsid w:val="00265B2D"/>
    <w:rsid w:val="00272F0C"/>
    <w:rsid w:val="00277775"/>
    <w:rsid w:val="00280A76"/>
    <w:rsid w:val="00280F90"/>
    <w:rsid w:val="0028430C"/>
    <w:rsid w:val="0028526B"/>
    <w:rsid w:val="00287D9D"/>
    <w:rsid w:val="00292859"/>
    <w:rsid w:val="00295464"/>
    <w:rsid w:val="002A21DB"/>
    <w:rsid w:val="002A56AC"/>
    <w:rsid w:val="002B2A03"/>
    <w:rsid w:val="002B3F3D"/>
    <w:rsid w:val="002B46A8"/>
    <w:rsid w:val="002B700A"/>
    <w:rsid w:val="002C0243"/>
    <w:rsid w:val="002C29F6"/>
    <w:rsid w:val="002C7FA1"/>
    <w:rsid w:val="002D25F7"/>
    <w:rsid w:val="002D46CE"/>
    <w:rsid w:val="002D57A5"/>
    <w:rsid w:val="002D6A71"/>
    <w:rsid w:val="002E2E65"/>
    <w:rsid w:val="002E768F"/>
    <w:rsid w:val="002F1720"/>
    <w:rsid w:val="002F27C1"/>
    <w:rsid w:val="002F3F2E"/>
    <w:rsid w:val="002F67F2"/>
    <w:rsid w:val="002F6D9C"/>
    <w:rsid w:val="002F70D6"/>
    <w:rsid w:val="002F7873"/>
    <w:rsid w:val="002F7DF5"/>
    <w:rsid w:val="00300A76"/>
    <w:rsid w:val="00302D53"/>
    <w:rsid w:val="0030331D"/>
    <w:rsid w:val="00303C58"/>
    <w:rsid w:val="003115FF"/>
    <w:rsid w:val="00312599"/>
    <w:rsid w:val="003208B5"/>
    <w:rsid w:val="00321A2D"/>
    <w:rsid w:val="00327837"/>
    <w:rsid w:val="00332DB8"/>
    <w:rsid w:val="00333622"/>
    <w:rsid w:val="0033363A"/>
    <w:rsid w:val="00334EFF"/>
    <w:rsid w:val="00335CDF"/>
    <w:rsid w:val="00344514"/>
    <w:rsid w:val="00344A37"/>
    <w:rsid w:val="00347227"/>
    <w:rsid w:val="003504FB"/>
    <w:rsid w:val="00354BB5"/>
    <w:rsid w:val="00354D45"/>
    <w:rsid w:val="003626B2"/>
    <w:rsid w:val="003630C0"/>
    <w:rsid w:val="00371C12"/>
    <w:rsid w:val="00373FA4"/>
    <w:rsid w:val="00374A4F"/>
    <w:rsid w:val="0038330F"/>
    <w:rsid w:val="0038358D"/>
    <w:rsid w:val="0038543A"/>
    <w:rsid w:val="003859A6"/>
    <w:rsid w:val="00386853"/>
    <w:rsid w:val="00391B7D"/>
    <w:rsid w:val="00392838"/>
    <w:rsid w:val="00397A7F"/>
    <w:rsid w:val="003A5499"/>
    <w:rsid w:val="003A7638"/>
    <w:rsid w:val="003B12D3"/>
    <w:rsid w:val="003B5EF1"/>
    <w:rsid w:val="003B7704"/>
    <w:rsid w:val="003C0323"/>
    <w:rsid w:val="003C1C0E"/>
    <w:rsid w:val="003C4BD7"/>
    <w:rsid w:val="003D0A97"/>
    <w:rsid w:val="003D3757"/>
    <w:rsid w:val="003E62CF"/>
    <w:rsid w:val="003F015F"/>
    <w:rsid w:val="003F244E"/>
    <w:rsid w:val="003F3258"/>
    <w:rsid w:val="003F3D98"/>
    <w:rsid w:val="003F5E71"/>
    <w:rsid w:val="00402157"/>
    <w:rsid w:val="0040341B"/>
    <w:rsid w:val="00404A7B"/>
    <w:rsid w:val="00414989"/>
    <w:rsid w:val="00415AFF"/>
    <w:rsid w:val="00421405"/>
    <w:rsid w:val="00425684"/>
    <w:rsid w:val="00431407"/>
    <w:rsid w:val="004315CA"/>
    <w:rsid w:val="004325AE"/>
    <w:rsid w:val="00432BEC"/>
    <w:rsid w:val="004432D9"/>
    <w:rsid w:val="00443F75"/>
    <w:rsid w:val="004458AD"/>
    <w:rsid w:val="00446522"/>
    <w:rsid w:val="00446D69"/>
    <w:rsid w:val="00451B9B"/>
    <w:rsid w:val="00457D78"/>
    <w:rsid w:val="00466343"/>
    <w:rsid w:val="00467126"/>
    <w:rsid w:val="004678B0"/>
    <w:rsid w:val="00470D55"/>
    <w:rsid w:val="00471610"/>
    <w:rsid w:val="00471D4B"/>
    <w:rsid w:val="00473C97"/>
    <w:rsid w:val="00486AC1"/>
    <w:rsid w:val="00487D0B"/>
    <w:rsid w:val="00493989"/>
    <w:rsid w:val="004A1019"/>
    <w:rsid w:val="004A2928"/>
    <w:rsid w:val="004A2A19"/>
    <w:rsid w:val="004A3BDD"/>
    <w:rsid w:val="004A7A60"/>
    <w:rsid w:val="004A7CC8"/>
    <w:rsid w:val="004B171B"/>
    <w:rsid w:val="004B287E"/>
    <w:rsid w:val="004C4EC3"/>
    <w:rsid w:val="004C72EB"/>
    <w:rsid w:val="004C7DAF"/>
    <w:rsid w:val="004D289C"/>
    <w:rsid w:val="004D3175"/>
    <w:rsid w:val="004D4786"/>
    <w:rsid w:val="004D5B87"/>
    <w:rsid w:val="004D6B5B"/>
    <w:rsid w:val="004E065A"/>
    <w:rsid w:val="004E30E4"/>
    <w:rsid w:val="004E4064"/>
    <w:rsid w:val="004E5BBC"/>
    <w:rsid w:val="004E5D74"/>
    <w:rsid w:val="004F5804"/>
    <w:rsid w:val="004F5C27"/>
    <w:rsid w:val="00501865"/>
    <w:rsid w:val="00505002"/>
    <w:rsid w:val="00505C77"/>
    <w:rsid w:val="00505E7D"/>
    <w:rsid w:val="00506274"/>
    <w:rsid w:val="00506895"/>
    <w:rsid w:val="00507704"/>
    <w:rsid w:val="0050782E"/>
    <w:rsid w:val="00510541"/>
    <w:rsid w:val="00511C46"/>
    <w:rsid w:val="00513551"/>
    <w:rsid w:val="00520627"/>
    <w:rsid w:val="00526A89"/>
    <w:rsid w:val="005308B4"/>
    <w:rsid w:val="005325AC"/>
    <w:rsid w:val="00532707"/>
    <w:rsid w:val="005327D2"/>
    <w:rsid w:val="00532AFB"/>
    <w:rsid w:val="00533721"/>
    <w:rsid w:val="005422DF"/>
    <w:rsid w:val="005458D3"/>
    <w:rsid w:val="00545B0A"/>
    <w:rsid w:val="00545CBE"/>
    <w:rsid w:val="0055052D"/>
    <w:rsid w:val="00551909"/>
    <w:rsid w:val="00551D27"/>
    <w:rsid w:val="00561D88"/>
    <w:rsid w:val="005633AA"/>
    <w:rsid w:val="005638DD"/>
    <w:rsid w:val="00563962"/>
    <w:rsid w:val="00564C89"/>
    <w:rsid w:val="005668F6"/>
    <w:rsid w:val="0057547B"/>
    <w:rsid w:val="005761C5"/>
    <w:rsid w:val="00581B3C"/>
    <w:rsid w:val="00583403"/>
    <w:rsid w:val="00583975"/>
    <w:rsid w:val="005849C2"/>
    <w:rsid w:val="00585342"/>
    <w:rsid w:val="00586078"/>
    <w:rsid w:val="00592629"/>
    <w:rsid w:val="00594BC5"/>
    <w:rsid w:val="00595CAB"/>
    <w:rsid w:val="005969D9"/>
    <w:rsid w:val="00596C53"/>
    <w:rsid w:val="005A018B"/>
    <w:rsid w:val="005A2E4A"/>
    <w:rsid w:val="005A511C"/>
    <w:rsid w:val="005A567B"/>
    <w:rsid w:val="005A7971"/>
    <w:rsid w:val="005B1BBC"/>
    <w:rsid w:val="005B3322"/>
    <w:rsid w:val="005B5807"/>
    <w:rsid w:val="005C59D2"/>
    <w:rsid w:val="005D55DB"/>
    <w:rsid w:val="005D57F6"/>
    <w:rsid w:val="005E15D0"/>
    <w:rsid w:val="005E193C"/>
    <w:rsid w:val="005E395D"/>
    <w:rsid w:val="005E3C9F"/>
    <w:rsid w:val="005E3E22"/>
    <w:rsid w:val="005F6B2B"/>
    <w:rsid w:val="005F6DAD"/>
    <w:rsid w:val="006009DB"/>
    <w:rsid w:val="00601A42"/>
    <w:rsid w:val="00602F7F"/>
    <w:rsid w:val="00604AFC"/>
    <w:rsid w:val="00606FF1"/>
    <w:rsid w:val="00613A20"/>
    <w:rsid w:val="00614135"/>
    <w:rsid w:val="00615B6C"/>
    <w:rsid w:val="006169FE"/>
    <w:rsid w:val="00621DCD"/>
    <w:rsid w:val="00624706"/>
    <w:rsid w:val="00626A2F"/>
    <w:rsid w:val="00632647"/>
    <w:rsid w:val="006369F2"/>
    <w:rsid w:val="006451BD"/>
    <w:rsid w:val="006451DB"/>
    <w:rsid w:val="00653BB7"/>
    <w:rsid w:val="00656639"/>
    <w:rsid w:val="00661923"/>
    <w:rsid w:val="00661B72"/>
    <w:rsid w:val="00673B26"/>
    <w:rsid w:val="0067483E"/>
    <w:rsid w:val="00683581"/>
    <w:rsid w:val="00687A8C"/>
    <w:rsid w:val="00691871"/>
    <w:rsid w:val="00696213"/>
    <w:rsid w:val="006A12A2"/>
    <w:rsid w:val="006A2421"/>
    <w:rsid w:val="006A286F"/>
    <w:rsid w:val="006A3768"/>
    <w:rsid w:val="006B01F1"/>
    <w:rsid w:val="006B5EE1"/>
    <w:rsid w:val="006C05C3"/>
    <w:rsid w:val="006C49A5"/>
    <w:rsid w:val="006D024B"/>
    <w:rsid w:val="006D0F1C"/>
    <w:rsid w:val="006D4E4D"/>
    <w:rsid w:val="006E180E"/>
    <w:rsid w:val="006E4F39"/>
    <w:rsid w:val="006F071F"/>
    <w:rsid w:val="006F19BE"/>
    <w:rsid w:val="006F1EC0"/>
    <w:rsid w:val="006F23E2"/>
    <w:rsid w:val="006F2415"/>
    <w:rsid w:val="00701515"/>
    <w:rsid w:val="00707614"/>
    <w:rsid w:val="0071242E"/>
    <w:rsid w:val="00714FF8"/>
    <w:rsid w:val="007165A3"/>
    <w:rsid w:val="00717AB5"/>
    <w:rsid w:val="007209BA"/>
    <w:rsid w:val="00720EDA"/>
    <w:rsid w:val="0072103E"/>
    <w:rsid w:val="0072469D"/>
    <w:rsid w:val="00724E1D"/>
    <w:rsid w:val="00725C6B"/>
    <w:rsid w:val="0073059B"/>
    <w:rsid w:val="00730866"/>
    <w:rsid w:val="007331E8"/>
    <w:rsid w:val="007356D9"/>
    <w:rsid w:val="00737D9C"/>
    <w:rsid w:val="007417D6"/>
    <w:rsid w:val="00744199"/>
    <w:rsid w:val="00746DDD"/>
    <w:rsid w:val="0075441E"/>
    <w:rsid w:val="00762A01"/>
    <w:rsid w:val="007661B1"/>
    <w:rsid w:val="00766A34"/>
    <w:rsid w:val="007704E3"/>
    <w:rsid w:val="0077229B"/>
    <w:rsid w:val="00775681"/>
    <w:rsid w:val="007828DE"/>
    <w:rsid w:val="00783102"/>
    <w:rsid w:val="00785367"/>
    <w:rsid w:val="00786E41"/>
    <w:rsid w:val="007900EB"/>
    <w:rsid w:val="00790C64"/>
    <w:rsid w:val="00794CE6"/>
    <w:rsid w:val="007A69E4"/>
    <w:rsid w:val="007B1074"/>
    <w:rsid w:val="007B6467"/>
    <w:rsid w:val="007B7FAE"/>
    <w:rsid w:val="007C166E"/>
    <w:rsid w:val="007C1BB4"/>
    <w:rsid w:val="007C2E73"/>
    <w:rsid w:val="007D1F22"/>
    <w:rsid w:val="007D3673"/>
    <w:rsid w:val="007D7716"/>
    <w:rsid w:val="007E51B1"/>
    <w:rsid w:val="007F2DE4"/>
    <w:rsid w:val="007F431A"/>
    <w:rsid w:val="007F7A46"/>
    <w:rsid w:val="007F7E86"/>
    <w:rsid w:val="00800760"/>
    <w:rsid w:val="00807011"/>
    <w:rsid w:val="0080792F"/>
    <w:rsid w:val="00807C82"/>
    <w:rsid w:val="00810EEE"/>
    <w:rsid w:val="00814C9F"/>
    <w:rsid w:val="0081667E"/>
    <w:rsid w:val="008170A0"/>
    <w:rsid w:val="0082340C"/>
    <w:rsid w:val="008273EF"/>
    <w:rsid w:val="00827BBB"/>
    <w:rsid w:val="008307B2"/>
    <w:rsid w:val="00830C59"/>
    <w:rsid w:val="00831115"/>
    <w:rsid w:val="00833CE3"/>
    <w:rsid w:val="00835565"/>
    <w:rsid w:val="00841074"/>
    <w:rsid w:val="00842FDD"/>
    <w:rsid w:val="00844245"/>
    <w:rsid w:val="00846432"/>
    <w:rsid w:val="00847775"/>
    <w:rsid w:val="00851D12"/>
    <w:rsid w:val="008520D9"/>
    <w:rsid w:val="008536A7"/>
    <w:rsid w:val="008540AE"/>
    <w:rsid w:val="00861EFB"/>
    <w:rsid w:val="00863DD4"/>
    <w:rsid w:val="0086688A"/>
    <w:rsid w:val="008668B3"/>
    <w:rsid w:val="00870BF9"/>
    <w:rsid w:val="0087424B"/>
    <w:rsid w:val="008843F6"/>
    <w:rsid w:val="00886730"/>
    <w:rsid w:val="00887603"/>
    <w:rsid w:val="0089366F"/>
    <w:rsid w:val="00894298"/>
    <w:rsid w:val="00894965"/>
    <w:rsid w:val="00897814"/>
    <w:rsid w:val="008A0F89"/>
    <w:rsid w:val="008A1C40"/>
    <w:rsid w:val="008A7CB4"/>
    <w:rsid w:val="008B149F"/>
    <w:rsid w:val="008B313B"/>
    <w:rsid w:val="008B536B"/>
    <w:rsid w:val="008C2F11"/>
    <w:rsid w:val="008C54BC"/>
    <w:rsid w:val="008D29FE"/>
    <w:rsid w:val="008D550C"/>
    <w:rsid w:val="008E0DC5"/>
    <w:rsid w:val="008E5DF3"/>
    <w:rsid w:val="008E612C"/>
    <w:rsid w:val="008F0211"/>
    <w:rsid w:val="008F24D2"/>
    <w:rsid w:val="008F2B6A"/>
    <w:rsid w:val="008F35F3"/>
    <w:rsid w:val="008F6A79"/>
    <w:rsid w:val="00906759"/>
    <w:rsid w:val="00907A4D"/>
    <w:rsid w:val="0091123D"/>
    <w:rsid w:val="00911845"/>
    <w:rsid w:val="0091736F"/>
    <w:rsid w:val="00917F42"/>
    <w:rsid w:val="00922C3A"/>
    <w:rsid w:val="009254E2"/>
    <w:rsid w:val="009267F2"/>
    <w:rsid w:val="009277EF"/>
    <w:rsid w:val="009350D3"/>
    <w:rsid w:val="00935321"/>
    <w:rsid w:val="00943D9C"/>
    <w:rsid w:val="00943F59"/>
    <w:rsid w:val="00945718"/>
    <w:rsid w:val="00947673"/>
    <w:rsid w:val="00955A97"/>
    <w:rsid w:val="00956253"/>
    <w:rsid w:val="00956C09"/>
    <w:rsid w:val="00964BF5"/>
    <w:rsid w:val="00970649"/>
    <w:rsid w:val="00975BC1"/>
    <w:rsid w:val="00980320"/>
    <w:rsid w:val="00980461"/>
    <w:rsid w:val="00981DD3"/>
    <w:rsid w:val="009827C3"/>
    <w:rsid w:val="009846A5"/>
    <w:rsid w:val="00985781"/>
    <w:rsid w:val="00985839"/>
    <w:rsid w:val="00986FE8"/>
    <w:rsid w:val="00987B52"/>
    <w:rsid w:val="00993AF4"/>
    <w:rsid w:val="009A0790"/>
    <w:rsid w:val="009A0EFB"/>
    <w:rsid w:val="009A1FE8"/>
    <w:rsid w:val="009A268C"/>
    <w:rsid w:val="009A323D"/>
    <w:rsid w:val="009B162C"/>
    <w:rsid w:val="009B1BCB"/>
    <w:rsid w:val="009C00CF"/>
    <w:rsid w:val="009C13CC"/>
    <w:rsid w:val="009D5C3F"/>
    <w:rsid w:val="009D7476"/>
    <w:rsid w:val="009D7C55"/>
    <w:rsid w:val="009F4700"/>
    <w:rsid w:val="009F63DD"/>
    <w:rsid w:val="009F7909"/>
    <w:rsid w:val="00A00069"/>
    <w:rsid w:val="00A11B17"/>
    <w:rsid w:val="00A14670"/>
    <w:rsid w:val="00A21B72"/>
    <w:rsid w:val="00A22BB5"/>
    <w:rsid w:val="00A3210C"/>
    <w:rsid w:val="00A3265C"/>
    <w:rsid w:val="00A32A97"/>
    <w:rsid w:val="00A32AFA"/>
    <w:rsid w:val="00A37034"/>
    <w:rsid w:val="00A44E0A"/>
    <w:rsid w:val="00A47F0A"/>
    <w:rsid w:val="00A53D36"/>
    <w:rsid w:val="00A558EA"/>
    <w:rsid w:val="00A61356"/>
    <w:rsid w:val="00A613F5"/>
    <w:rsid w:val="00A63C9F"/>
    <w:rsid w:val="00A65230"/>
    <w:rsid w:val="00A72B40"/>
    <w:rsid w:val="00A72C9A"/>
    <w:rsid w:val="00A73FD8"/>
    <w:rsid w:val="00A81FC5"/>
    <w:rsid w:val="00A82DC3"/>
    <w:rsid w:val="00A83566"/>
    <w:rsid w:val="00A85A53"/>
    <w:rsid w:val="00A86958"/>
    <w:rsid w:val="00A90326"/>
    <w:rsid w:val="00A910FC"/>
    <w:rsid w:val="00A938EC"/>
    <w:rsid w:val="00A961E8"/>
    <w:rsid w:val="00AA19E6"/>
    <w:rsid w:val="00AA2B59"/>
    <w:rsid w:val="00AA53A5"/>
    <w:rsid w:val="00AA5407"/>
    <w:rsid w:val="00AB76AC"/>
    <w:rsid w:val="00AC04F6"/>
    <w:rsid w:val="00AC4DF0"/>
    <w:rsid w:val="00AC61B5"/>
    <w:rsid w:val="00AC6232"/>
    <w:rsid w:val="00AC7FBE"/>
    <w:rsid w:val="00AD644A"/>
    <w:rsid w:val="00AD6B80"/>
    <w:rsid w:val="00AE0D1E"/>
    <w:rsid w:val="00AF6607"/>
    <w:rsid w:val="00B04DE8"/>
    <w:rsid w:val="00B06F6B"/>
    <w:rsid w:val="00B07A2A"/>
    <w:rsid w:val="00B11698"/>
    <w:rsid w:val="00B133D3"/>
    <w:rsid w:val="00B15CD3"/>
    <w:rsid w:val="00B16BE4"/>
    <w:rsid w:val="00B20E70"/>
    <w:rsid w:val="00B2388B"/>
    <w:rsid w:val="00B24FBF"/>
    <w:rsid w:val="00B334A0"/>
    <w:rsid w:val="00B34962"/>
    <w:rsid w:val="00B447A7"/>
    <w:rsid w:val="00B4579D"/>
    <w:rsid w:val="00B45D69"/>
    <w:rsid w:val="00B47557"/>
    <w:rsid w:val="00B522A8"/>
    <w:rsid w:val="00B52C65"/>
    <w:rsid w:val="00B53037"/>
    <w:rsid w:val="00B54313"/>
    <w:rsid w:val="00B67CB2"/>
    <w:rsid w:val="00B703E5"/>
    <w:rsid w:val="00B70A65"/>
    <w:rsid w:val="00B70D1C"/>
    <w:rsid w:val="00B74BA1"/>
    <w:rsid w:val="00B759F3"/>
    <w:rsid w:val="00B83E7A"/>
    <w:rsid w:val="00B86DA1"/>
    <w:rsid w:val="00B95D1B"/>
    <w:rsid w:val="00B96982"/>
    <w:rsid w:val="00B96A3B"/>
    <w:rsid w:val="00BB09EC"/>
    <w:rsid w:val="00BB4943"/>
    <w:rsid w:val="00BC155D"/>
    <w:rsid w:val="00BC3B16"/>
    <w:rsid w:val="00BC49D6"/>
    <w:rsid w:val="00BD02DE"/>
    <w:rsid w:val="00BD0FD8"/>
    <w:rsid w:val="00BD2814"/>
    <w:rsid w:val="00BD338D"/>
    <w:rsid w:val="00BD3503"/>
    <w:rsid w:val="00BD5C6E"/>
    <w:rsid w:val="00BE1F44"/>
    <w:rsid w:val="00BE2038"/>
    <w:rsid w:val="00BE7FCB"/>
    <w:rsid w:val="00BF21A4"/>
    <w:rsid w:val="00BF29B2"/>
    <w:rsid w:val="00BF37B0"/>
    <w:rsid w:val="00C0211A"/>
    <w:rsid w:val="00C223C3"/>
    <w:rsid w:val="00C30A7F"/>
    <w:rsid w:val="00C31835"/>
    <w:rsid w:val="00C331A6"/>
    <w:rsid w:val="00C36C43"/>
    <w:rsid w:val="00C40450"/>
    <w:rsid w:val="00C41735"/>
    <w:rsid w:val="00C5102C"/>
    <w:rsid w:val="00C556F5"/>
    <w:rsid w:val="00C623C7"/>
    <w:rsid w:val="00C64382"/>
    <w:rsid w:val="00C679B4"/>
    <w:rsid w:val="00C7053D"/>
    <w:rsid w:val="00C70B7D"/>
    <w:rsid w:val="00C7133E"/>
    <w:rsid w:val="00C71D86"/>
    <w:rsid w:val="00C75073"/>
    <w:rsid w:val="00C75820"/>
    <w:rsid w:val="00C77DA5"/>
    <w:rsid w:val="00C82210"/>
    <w:rsid w:val="00C84E9F"/>
    <w:rsid w:val="00C9053E"/>
    <w:rsid w:val="00C94BCF"/>
    <w:rsid w:val="00C96EA9"/>
    <w:rsid w:val="00C977F0"/>
    <w:rsid w:val="00CA0555"/>
    <w:rsid w:val="00CA0CA1"/>
    <w:rsid w:val="00CA2873"/>
    <w:rsid w:val="00CA3D60"/>
    <w:rsid w:val="00CA4BD0"/>
    <w:rsid w:val="00CA5850"/>
    <w:rsid w:val="00CA774E"/>
    <w:rsid w:val="00CB401B"/>
    <w:rsid w:val="00CB4D5B"/>
    <w:rsid w:val="00CC4EC2"/>
    <w:rsid w:val="00CC5417"/>
    <w:rsid w:val="00CC704A"/>
    <w:rsid w:val="00CD28FC"/>
    <w:rsid w:val="00CD2AF5"/>
    <w:rsid w:val="00CD6FB8"/>
    <w:rsid w:val="00CE2029"/>
    <w:rsid w:val="00CE3730"/>
    <w:rsid w:val="00CF19DD"/>
    <w:rsid w:val="00CF3111"/>
    <w:rsid w:val="00CF4C59"/>
    <w:rsid w:val="00CF6C53"/>
    <w:rsid w:val="00D0027C"/>
    <w:rsid w:val="00D0439E"/>
    <w:rsid w:val="00D04917"/>
    <w:rsid w:val="00D10E74"/>
    <w:rsid w:val="00D1114E"/>
    <w:rsid w:val="00D1174B"/>
    <w:rsid w:val="00D143BD"/>
    <w:rsid w:val="00D20CB5"/>
    <w:rsid w:val="00D21A36"/>
    <w:rsid w:val="00D21C24"/>
    <w:rsid w:val="00D233E4"/>
    <w:rsid w:val="00D26F2E"/>
    <w:rsid w:val="00D305BA"/>
    <w:rsid w:val="00D30660"/>
    <w:rsid w:val="00D334E7"/>
    <w:rsid w:val="00D33594"/>
    <w:rsid w:val="00D356BE"/>
    <w:rsid w:val="00D37AC7"/>
    <w:rsid w:val="00D37E25"/>
    <w:rsid w:val="00D4338B"/>
    <w:rsid w:val="00D4519B"/>
    <w:rsid w:val="00D4523D"/>
    <w:rsid w:val="00D47E92"/>
    <w:rsid w:val="00D52904"/>
    <w:rsid w:val="00D557F8"/>
    <w:rsid w:val="00D55C1D"/>
    <w:rsid w:val="00D610A4"/>
    <w:rsid w:val="00D615F3"/>
    <w:rsid w:val="00D61799"/>
    <w:rsid w:val="00D659E9"/>
    <w:rsid w:val="00D66D33"/>
    <w:rsid w:val="00D66F67"/>
    <w:rsid w:val="00D72005"/>
    <w:rsid w:val="00D73D9D"/>
    <w:rsid w:val="00D76F55"/>
    <w:rsid w:val="00D85D85"/>
    <w:rsid w:val="00D86DC8"/>
    <w:rsid w:val="00D952E9"/>
    <w:rsid w:val="00DA14E3"/>
    <w:rsid w:val="00DA2332"/>
    <w:rsid w:val="00DA5F47"/>
    <w:rsid w:val="00DA780F"/>
    <w:rsid w:val="00DA7FEC"/>
    <w:rsid w:val="00DB5310"/>
    <w:rsid w:val="00DB7353"/>
    <w:rsid w:val="00DB79E6"/>
    <w:rsid w:val="00DC121D"/>
    <w:rsid w:val="00DC149E"/>
    <w:rsid w:val="00DC32C9"/>
    <w:rsid w:val="00DC4B06"/>
    <w:rsid w:val="00DC5A29"/>
    <w:rsid w:val="00DC602E"/>
    <w:rsid w:val="00DC6156"/>
    <w:rsid w:val="00DD14A7"/>
    <w:rsid w:val="00DD1C9C"/>
    <w:rsid w:val="00DD2F24"/>
    <w:rsid w:val="00DD5542"/>
    <w:rsid w:val="00DD7168"/>
    <w:rsid w:val="00DD728C"/>
    <w:rsid w:val="00DD7E7C"/>
    <w:rsid w:val="00DE0435"/>
    <w:rsid w:val="00DE3215"/>
    <w:rsid w:val="00DE3CBB"/>
    <w:rsid w:val="00DE3F00"/>
    <w:rsid w:val="00DE59B7"/>
    <w:rsid w:val="00DE60D1"/>
    <w:rsid w:val="00DE747F"/>
    <w:rsid w:val="00DF5D4B"/>
    <w:rsid w:val="00DF77B8"/>
    <w:rsid w:val="00E03F05"/>
    <w:rsid w:val="00E04A11"/>
    <w:rsid w:val="00E0600A"/>
    <w:rsid w:val="00E07347"/>
    <w:rsid w:val="00E103DF"/>
    <w:rsid w:val="00E10530"/>
    <w:rsid w:val="00E11207"/>
    <w:rsid w:val="00E232CD"/>
    <w:rsid w:val="00E24151"/>
    <w:rsid w:val="00E24E1D"/>
    <w:rsid w:val="00E26B53"/>
    <w:rsid w:val="00E26E1D"/>
    <w:rsid w:val="00E301D8"/>
    <w:rsid w:val="00E363DB"/>
    <w:rsid w:val="00E37E7C"/>
    <w:rsid w:val="00E41372"/>
    <w:rsid w:val="00E42D0D"/>
    <w:rsid w:val="00E431B1"/>
    <w:rsid w:val="00E43C51"/>
    <w:rsid w:val="00E4457F"/>
    <w:rsid w:val="00E45C1B"/>
    <w:rsid w:val="00E51D4E"/>
    <w:rsid w:val="00E60EE2"/>
    <w:rsid w:val="00E62CB3"/>
    <w:rsid w:val="00E67444"/>
    <w:rsid w:val="00E72F02"/>
    <w:rsid w:val="00E750B1"/>
    <w:rsid w:val="00E765E1"/>
    <w:rsid w:val="00E77BF3"/>
    <w:rsid w:val="00E842D4"/>
    <w:rsid w:val="00E8587D"/>
    <w:rsid w:val="00E86B50"/>
    <w:rsid w:val="00E926EB"/>
    <w:rsid w:val="00E941F8"/>
    <w:rsid w:val="00E96873"/>
    <w:rsid w:val="00E972B1"/>
    <w:rsid w:val="00E97C53"/>
    <w:rsid w:val="00EA08C4"/>
    <w:rsid w:val="00EA2103"/>
    <w:rsid w:val="00EA331E"/>
    <w:rsid w:val="00EA417D"/>
    <w:rsid w:val="00EB0F6A"/>
    <w:rsid w:val="00EB3F9C"/>
    <w:rsid w:val="00EB520D"/>
    <w:rsid w:val="00EB79A0"/>
    <w:rsid w:val="00EC5697"/>
    <w:rsid w:val="00ED152C"/>
    <w:rsid w:val="00ED5B33"/>
    <w:rsid w:val="00ED7341"/>
    <w:rsid w:val="00EE0B71"/>
    <w:rsid w:val="00EE159B"/>
    <w:rsid w:val="00EE37CD"/>
    <w:rsid w:val="00EE405A"/>
    <w:rsid w:val="00EE78F2"/>
    <w:rsid w:val="00EF0A01"/>
    <w:rsid w:val="00EF7E3E"/>
    <w:rsid w:val="00F0083D"/>
    <w:rsid w:val="00F01B06"/>
    <w:rsid w:val="00F01F64"/>
    <w:rsid w:val="00F027C9"/>
    <w:rsid w:val="00F02A27"/>
    <w:rsid w:val="00F0343E"/>
    <w:rsid w:val="00F045F6"/>
    <w:rsid w:val="00F05FED"/>
    <w:rsid w:val="00F108DC"/>
    <w:rsid w:val="00F10CB6"/>
    <w:rsid w:val="00F133D2"/>
    <w:rsid w:val="00F1491A"/>
    <w:rsid w:val="00F17189"/>
    <w:rsid w:val="00F340A8"/>
    <w:rsid w:val="00F43285"/>
    <w:rsid w:val="00F46225"/>
    <w:rsid w:val="00F522E0"/>
    <w:rsid w:val="00F529B2"/>
    <w:rsid w:val="00F559D8"/>
    <w:rsid w:val="00F61B70"/>
    <w:rsid w:val="00F646C2"/>
    <w:rsid w:val="00F66D8A"/>
    <w:rsid w:val="00F70B58"/>
    <w:rsid w:val="00F714D3"/>
    <w:rsid w:val="00F72F23"/>
    <w:rsid w:val="00F74337"/>
    <w:rsid w:val="00F749B3"/>
    <w:rsid w:val="00F77A3A"/>
    <w:rsid w:val="00F8102B"/>
    <w:rsid w:val="00F81BF1"/>
    <w:rsid w:val="00F826D8"/>
    <w:rsid w:val="00F87537"/>
    <w:rsid w:val="00F87C96"/>
    <w:rsid w:val="00F92CCB"/>
    <w:rsid w:val="00F93352"/>
    <w:rsid w:val="00F94DC5"/>
    <w:rsid w:val="00F956DB"/>
    <w:rsid w:val="00F97A72"/>
    <w:rsid w:val="00FA3947"/>
    <w:rsid w:val="00FA5CD5"/>
    <w:rsid w:val="00FB0B5B"/>
    <w:rsid w:val="00FB2B82"/>
    <w:rsid w:val="00FB3929"/>
    <w:rsid w:val="00FB4F8A"/>
    <w:rsid w:val="00FD13F8"/>
    <w:rsid w:val="00FD1D0D"/>
    <w:rsid w:val="00FD224F"/>
    <w:rsid w:val="00FD2808"/>
    <w:rsid w:val="00FD2E39"/>
    <w:rsid w:val="00FE340E"/>
    <w:rsid w:val="00FE525D"/>
    <w:rsid w:val="00FE5C5B"/>
    <w:rsid w:val="00FF1B49"/>
    <w:rsid w:val="00FF2179"/>
    <w:rsid w:val="00FF2AA3"/>
    <w:rsid w:val="00FF3023"/>
    <w:rsid w:val="00FF4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42D6A8B3-8220-4AFC-8E03-2C54D51C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60D1"/>
    <w:pPr>
      <w:jc w:val="both"/>
    </w:pPr>
    <w:rPr>
      <w:rFonts w:ascii="Verdana" w:hAnsi="Verdana"/>
      <w:sz w:val="18"/>
      <w:szCs w:val="24"/>
    </w:rPr>
  </w:style>
  <w:style w:type="paragraph" w:styleId="Titre1">
    <w:name w:val="heading 1"/>
    <w:basedOn w:val="Normal"/>
    <w:next w:val="Normal"/>
    <w:qFormat/>
    <w:rsid w:val="00F77A3A"/>
    <w:pPr>
      <w:keepNext/>
      <w:spacing w:before="240" w:after="60"/>
      <w:outlineLvl w:val="0"/>
    </w:pPr>
    <w:rPr>
      <w:rFonts w:ascii="Arial" w:hAnsi="Arial" w:cs="Arial"/>
      <w:b/>
      <w:bCs/>
      <w:kern w:val="32"/>
      <w:sz w:val="32"/>
      <w:szCs w:val="32"/>
    </w:rPr>
  </w:style>
  <w:style w:type="paragraph" w:styleId="Titre2">
    <w:name w:val="heading 2"/>
    <w:aliases w:val="Titre 11"/>
    <w:basedOn w:val="Normal"/>
    <w:next w:val="Normal"/>
    <w:qFormat/>
    <w:rsid w:val="009F4700"/>
    <w:pPr>
      <w:keepNext/>
      <w:spacing w:before="240" w:after="60"/>
      <w:outlineLvl w:val="1"/>
    </w:pPr>
    <w:rPr>
      <w:rFonts w:cs="Arial"/>
      <w:b/>
      <w:bCs/>
      <w:iCs/>
      <w:sz w:val="20"/>
      <w:szCs w:val="28"/>
    </w:rPr>
  </w:style>
  <w:style w:type="paragraph" w:styleId="Titre3">
    <w:name w:val="heading 3"/>
    <w:aliases w:val="Titre 12"/>
    <w:basedOn w:val="Normal"/>
    <w:next w:val="Normal"/>
    <w:qFormat/>
    <w:rsid w:val="00DE60D1"/>
    <w:pPr>
      <w:keepNext/>
      <w:spacing w:before="240" w:after="60"/>
      <w:outlineLvl w:val="2"/>
    </w:pPr>
    <w:rPr>
      <w:rFonts w:cs="Arial"/>
      <w:b/>
      <w:bCs/>
      <w:szCs w:val="26"/>
    </w:rPr>
  </w:style>
  <w:style w:type="paragraph" w:styleId="Titre4">
    <w:name w:val="heading 4"/>
    <w:basedOn w:val="Normal"/>
    <w:next w:val="Normal"/>
    <w:qFormat/>
    <w:rsid w:val="00F77A3A"/>
    <w:pPr>
      <w:keepNext/>
      <w:outlineLvl w:val="3"/>
    </w:pPr>
    <w:rPr>
      <w:sz w:val="22"/>
      <w:u w:val="single"/>
    </w:rPr>
  </w:style>
  <w:style w:type="paragraph" w:styleId="Titre5">
    <w:name w:val="heading 5"/>
    <w:basedOn w:val="Normal"/>
    <w:next w:val="Normal"/>
    <w:qFormat/>
    <w:rsid w:val="00F77A3A"/>
    <w:pPr>
      <w:keepNext/>
      <w:outlineLvl w:val="4"/>
    </w:pPr>
    <w:rPr>
      <w:b/>
      <w:bCs/>
    </w:rPr>
  </w:style>
  <w:style w:type="paragraph" w:styleId="Titre6">
    <w:name w:val="heading 6"/>
    <w:basedOn w:val="Normal"/>
    <w:next w:val="Normal"/>
    <w:qFormat/>
    <w:rsid w:val="00F77A3A"/>
    <w:pPr>
      <w:keepNext/>
      <w:outlineLvl w:val="5"/>
    </w:pPr>
    <w:rPr>
      <w:i/>
      <w:iCs/>
    </w:rPr>
  </w:style>
  <w:style w:type="paragraph" w:styleId="Titre7">
    <w:name w:val="heading 7"/>
    <w:basedOn w:val="Normal"/>
    <w:next w:val="Normal"/>
    <w:qFormat/>
    <w:rsid w:val="00F77A3A"/>
    <w:pPr>
      <w:keepNext/>
      <w:outlineLvl w:val="6"/>
    </w:pPr>
    <w:rPr>
      <w:i/>
      <w:iCs/>
      <w:sz w:val="22"/>
    </w:rPr>
  </w:style>
  <w:style w:type="paragraph" w:styleId="Titre8">
    <w:name w:val="heading 8"/>
    <w:basedOn w:val="Normal"/>
    <w:next w:val="Normal"/>
    <w:qFormat/>
    <w:rsid w:val="00F77A3A"/>
    <w:pPr>
      <w:keepNext/>
      <w:numPr>
        <w:ilvl w:val="12"/>
      </w:numPr>
      <w:outlineLvl w:val="7"/>
    </w:pPr>
    <w:rPr>
      <w:b/>
      <w:sz w:val="22"/>
    </w:rPr>
  </w:style>
  <w:style w:type="paragraph" w:styleId="Titre9">
    <w:name w:val="heading 9"/>
    <w:basedOn w:val="Normal"/>
    <w:next w:val="Normal"/>
    <w:qFormat/>
    <w:rsid w:val="00F77A3A"/>
    <w:pPr>
      <w:keepNext/>
      <w:ind w:right="1785"/>
      <w:jc w:val="center"/>
      <w:outlineLvl w:val="8"/>
    </w:pPr>
    <w:rPr>
      <w:rFonts w:ascii="Comic Sans MS" w:hAnsi="Comic Sans M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A">
    <w:name w:val="TitreA"/>
    <w:basedOn w:val="Titre"/>
    <w:rsid w:val="00F77A3A"/>
    <w:pPr>
      <w:widowControl w:val="0"/>
      <w:pBdr>
        <w:top w:val="double" w:sz="6" w:space="1" w:color="auto"/>
        <w:left w:val="double" w:sz="6" w:space="4" w:color="auto"/>
        <w:bottom w:val="double" w:sz="6" w:space="1" w:color="auto"/>
        <w:right w:val="double" w:sz="6" w:space="4" w:color="auto"/>
      </w:pBdr>
      <w:overflowPunct w:val="0"/>
      <w:autoSpaceDE w:val="0"/>
      <w:autoSpaceDN w:val="0"/>
      <w:adjustRightInd w:val="0"/>
      <w:spacing w:before="120" w:after="120"/>
      <w:outlineLvl w:val="9"/>
    </w:pPr>
    <w:rPr>
      <w:rFonts w:cs="Times New Roman"/>
      <w:bCs w:val="0"/>
      <w:sz w:val="28"/>
      <w:szCs w:val="20"/>
    </w:rPr>
  </w:style>
  <w:style w:type="paragraph" w:styleId="Titre">
    <w:name w:val="Title"/>
    <w:basedOn w:val="Normal"/>
    <w:rsid w:val="00F77A3A"/>
    <w:pPr>
      <w:spacing w:before="240" w:after="60"/>
      <w:jc w:val="center"/>
      <w:outlineLvl w:val="0"/>
    </w:pPr>
    <w:rPr>
      <w:rFonts w:ascii="Arial" w:hAnsi="Arial" w:cs="Arial"/>
      <w:b/>
      <w:bCs/>
      <w:kern w:val="28"/>
      <w:sz w:val="32"/>
      <w:szCs w:val="32"/>
    </w:rPr>
  </w:style>
  <w:style w:type="paragraph" w:styleId="Retraitcorpsdetexte">
    <w:name w:val="Body Text Indent"/>
    <w:basedOn w:val="Normal"/>
    <w:link w:val="RetraitcorpsdetexteCar"/>
    <w:semiHidden/>
    <w:rsid w:val="00F77A3A"/>
    <w:pPr>
      <w:ind w:firstLine="708"/>
    </w:pPr>
  </w:style>
  <w:style w:type="paragraph" w:styleId="Corpsdetexte">
    <w:name w:val="Body Text"/>
    <w:basedOn w:val="Normal"/>
    <w:semiHidden/>
    <w:rsid w:val="00F77A3A"/>
  </w:style>
  <w:style w:type="paragraph" w:styleId="TM4">
    <w:name w:val="toc 4"/>
    <w:basedOn w:val="Normal"/>
    <w:next w:val="Normal"/>
    <w:autoRedefine/>
    <w:semiHidden/>
    <w:rsid w:val="00F77A3A"/>
    <w:pPr>
      <w:ind w:left="720"/>
    </w:pPr>
  </w:style>
  <w:style w:type="paragraph" w:styleId="TM1">
    <w:name w:val="toc 1"/>
    <w:basedOn w:val="Normal"/>
    <w:next w:val="Normal"/>
    <w:autoRedefine/>
    <w:uiPriority w:val="39"/>
    <w:rsid w:val="0038358D"/>
    <w:pPr>
      <w:tabs>
        <w:tab w:val="right" w:leader="dot" w:pos="9638"/>
      </w:tabs>
    </w:pPr>
    <w:rPr>
      <w:rFonts w:eastAsia="Arial Unicode MS" w:cs="Arial"/>
      <w:b/>
      <w:noProof/>
      <w:sz w:val="20"/>
      <w:szCs w:val="20"/>
    </w:rPr>
  </w:style>
  <w:style w:type="paragraph" w:styleId="TM2">
    <w:name w:val="toc 2"/>
    <w:basedOn w:val="Normal"/>
    <w:next w:val="Normal"/>
    <w:autoRedefine/>
    <w:uiPriority w:val="39"/>
    <w:rsid w:val="00176D52"/>
    <w:pPr>
      <w:tabs>
        <w:tab w:val="right" w:leader="dot" w:pos="9628"/>
      </w:tabs>
      <w:ind w:left="238"/>
    </w:pPr>
    <w:rPr>
      <w:noProof/>
      <w:sz w:val="22"/>
    </w:rPr>
  </w:style>
  <w:style w:type="paragraph" w:styleId="TM3">
    <w:name w:val="toc 3"/>
    <w:basedOn w:val="Normal"/>
    <w:next w:val="Normal"/>
    <w:autoRedefine/>
    <w:uiPriority w:val="39"/>
    <w:rsid w:val="00F77A3A"/>
    <w:pPr>
      <w:ind w:left="482"/>
    </w:pPr>
    <w:rPr>
      <w:b/>
      <w:i/>
    </w:rPr>
  </w:style>
  <w:style w:type="paragraph" w:styleId="TM5">
    <w:name w:val="toc 5"/>
    <w:basedOn w:val="Normal"/>
    <w:next w:val="Normal"/>
    <w:autoRedefine/>
    <w:semiHidden/>
    <w:rsid w:val="00F77A3A"/>
    <w:pPr>
      <w:ind w:left="960"/>
    </w:pPr>
  </w:style>
  <w:style w:type="paragraph" w:styleId="TM6">
    <w:name w:val="toc 6"/>
    <w:basedOn w:val="Normal"/>
    <w:next w:val="Normal"/>
    <w:autoRedefine/>
    <w:semiHidden/>
    <w:rsid w:val="00F77A3A"/>
    <w:pPr>
      <w:ind w:left="1200"/>
    </w:pPr>
  </w:style>
  <w:style w:type="paragraph" w:styleId="TM7">
    <w:name w:val="toc 7"/>
    <w:basedOn w:val="Normal"/>
    <w:next w:val="Normal"/>
    <w:autoRedefine/>
    <w:semiHidden/>
    <w:rsid w:val="00F77A3A"/>
    <w:pPr>
      <w:ind w:left="1440"/>
    </w:pPr>
  </w:style>
  <w:style w:type="paragraph" w:styleId="TM8">
    <w:name w:val="toc 8"/>
    <w:basedOn w:val="Normal"/>
    <w:next w:val="Normal"/>
    <w:autoRedefine/>
    <w:semiHidden/>
    <w:rsid w:val="00F77A3A"/>
    <w:pPr>
      <w:ind w:left="1680"/>
    </w:pPr>
  </w:style>
  <w:style w:type="paragraph" w:styleId="TM9">
    <w:name w:val="toc 9"/>
    <w:basedOn w:val="Normal"/>
    <w:next w:val="Normal"/>
    <w:autoRedefine/>
    <w:semiHidden/>
    <w:rsid w:val="00F77A3A"/>
    <w:pPr>
      <w:ind w:left="1920"/>
    </w:pPr>
  </w:style>
  <w:style w:type="character" w:styleId="Lienhypertexte">
    <w:name w:val="Hyperlink"/>
    <w:uiPriority w:val="99"/>
    <w:rsid w:val="00F77A3A"/>
    <w:rPr>
      <w:color w:val="0000FF"/>
      <w:u w:val="single"/>
    </w:rPr>
  </w:style>
  <w:style w:type="paragraph" w:styleId="Retraitcorpsdetexte2">
    <w:name w:val="Body Text Indent 2"/>
    <w:basedOn w:val="Normal"/>
    <w:semiHidden/>
    <w:rsid w:val="00F77A3A"/>
    <w:pPr>
      <w:ind w:firstLine="360"/>
    </w:pPr>
  </w:style>
  <w:style w:type="paragraph" w:styleId="Retraitcorpsdetexte3">
    <w:name w:val="Body Text Indent 3"/>
    <w:basedOn w:val="Normal"/>
    <w:semiHidden/>
    <w:rsid w:val="00F77A3A"/>
    <w:pPr>
      <w:ind w:left="708"/>
    </w:pPr>
  </w:style>
  <w:style w:type="paragraph" w:styleId="En-tte">
    <w:name w:val="header"/>
    <w:basedOn w:val="Normal"/>
    <w:link w:val="En-tteCar"/>
    <w:uiPriority w:val="99"/>
    <w:rsid w:val="00F77A3A"/>
    <w:pPr>
      <w:tabs>
        <w:tab w:val="center" w:pos="4536"/>
        <w:tab w:val="right" w:pos="9072"/>
      </w:tabs>
    </w:pPr>
  </w:style>
  <w:style w:type="paragraph" w:styleId="Pieddepage">
    <w:name w:val="footer"/>
    <w:basedOn w:val="Normal"/>
    <w:link w:val="PieddepageCar"/>
    <w:uiPriority w:val="99"/>
    <w:rsid w:val="00F77A3A"/>
    <w:pPr>
      <w:tabs>
        <w:tab w:val="center" w:pos="4536"/>
        <w:tab w:val="right" w:pos="9072"/>
      </w:tabs>
    </w:pPr>
  </w:style>
  <w:style w:type="character" w:styleId="Numrodepage">
    <w:name w:val="page number"/>
    <w:basedOn w:val="Policepardfaut"/>
    <w:semiHidden/>
    <w:rsid w:val="00F77A3A"/>
  </w:style>
  <w:style w:type="paragraph" w:styleId="Corpsdetexte2">
    <w:name w:val="Body Text 2"/>
    <w:basedOn w:val="Normal"/>
    <w:semiHidden/>
    <w:rsid w:val="00F77A3A"/>
    <w:rPr>
      <w:sz w:val="22"/>
    </w:rPr>
  </w:style>
  <w:style w:type="paragraph" w:styleId="Corpsdetexte3">
    <w:name w:val="Body Text 3"/>
    <w:basedOn w:val="Normal"/>
    <w:semiHidden/>
    <w:rsid w:val="00F77A3A"/>
    <w:rPr>
      <w:sz w:val="22"/>
    </w:rPr>
  </w:style>
  <w:style w:type="paragraph" w:styleId="Explorateurdedocuments">
    <w:name w:val="Document Map"/>
    <w:basedOn w:val="Normal"/>
    <w:semiHidden/>
    <w:rsid w:val="00F77A3A"/>
    <w:pPr>
      <w:shd w:val="clear" w:color="auto" w:fill="000080"/>
    </w:pPr>
    <w:rPr>
      <w:rFonts w:ascii="Tahoma" w:hAnsi="Tahoma" w:cs="Tahoma"/>
      <w:sz w:val="20"/>
      <w:szCs w:val="20"/>
    </w:rPr>
  </w:style>
  <w:style w:type="character" w:styleId="Lienhypertextesuivivisit">
    <w:name w:val="FollowedHyperlink"/>
    <w:semiHidden/>
    <w:rsid w:val="00F77A3A"/>
    <w:rPr>
      <w:color w:val="800080"/>
      <w:u w:val="single"/>
    </w:rPr>
  </w:style>
  <w:style w:type="character" w:customStyle="1" w:styleId="Titre2Car">
    <w:name w:val="Titre 2 Car"/>
    <w:rsid w:val="00F77A3A"/>
    <w:rPr>
      <w:rFonts w:ascii="Arial" w:hAnsi="Arial" w:cs="Arial"/>
      <w:b/>
      <w:bCs/>
      <w:i/>
      <w:iCs/>
      <w:sz w:val="28"/>
      <w:szCs w:val="28"/>
      <w:lang w:val="fr-FR" w:eastAsia="fr-FR" w:bidi="ar-SA"/>
    </w:rPr>
  </w:style>
  <w:style w:type="paragraph" w:customStyle="1" w:styleId="textecourant">
    <w:name w:val="texte courant"/>
    <w:basedOn w:val="Normal"/>
    <w:rsid w:val="00F77A3A"/>
    <w:pPr>
      <w:tabs>
        <w:tab w:val="left" w:pos="170"/>
      </w:tabs>
      <w:autoSpaceDE w:val="0"/>
      <w:autoSpaceDN w:val="0"/>
      <w:spacing w:after="120" w:line="250" w:lineRule="exact"/>
    </w:pPr>
    <w:rPr>
      <w:rFonts w:ascii="Times" w:hAnsi="Times"/>
      <w:sz w:val="22"/>
      <w:szCs w:val="22"/>
    </w:rPr>
  </w:style>
  <w:style w:type="paragraph" w:customStyle="1" w:styleId="ital">
    <w:name w:val="ital"/>
    <w:basedOn w:val="textecourant"/>
    <w:rsid w:val="00F77A3A"/>
    <w:pPr>
      <w:spacing w:line="240" w:lineRule="exact"/>
    </w:pPr>
    <w:rPr>
      <w:i/>
      <w:iCs/>
    </w:rPr>
  </w:style>
  <w:style w:type="paragraph" w:customStyle="1" w:styleId="gras">
    <w:name w:val="gras"/>
    <w:basedOn w:val="textecourant"/>
    <w:rsid w:val="00F77A3A"/>
    <w:pPr>
      <w:spacing w:before="160" w:after="160" w:line="360" w:lineRule="auto"/>
    </w:pPr>
    <w:rPr>
      <w:b/>
      <w:bCs/>
    </w:rPr>
  </w:style>
  <w:style w:type="paragraph" w:customStyle="1" w:styleId="Annexex">
    <w:name w:val="Annexe x"/>
    <w:basedOn w:val="textecourant"/>
    <w:rsid w:val="00F77A3A"/>
    <w:pPr>
      <w:spacing w:before="200" w:line="240" w:lineRule="exact"/>
      <w:jc w:val="center"/>
    </w:pPr>
    <w:rPr>
      <w:smallCaps/>
    </w:rPr>
  </w:style>
  <w:style w:type="character" w:customStyle="1" w:styleId="En-tteCar">
    <w:name w:val="En-tête Car"/>
    <w:link w:val="En-tte"/>
    <w:uiPriority w:val="99"/>
    <w:rsid w:val="0028526B"/>
    <w:rPr>
      <w:sz w:val="24"/>
      <w:szCs w:val="24"/>
    </w:rPr>
  </w:style>
  <w:style w:type="paragraph" w:customStyle="1" w:styleId="mandat2">
    <w:name w:val="mandat2"/>
    <w:basedOn w:val="Titre2"/>
    <w:rsid w:val="00F77A3A"/>
    <w:pPr>
      <w:spacing w:before="0"/>
      <w:ind w:firstLine="708"/>
    </w:pPr>
    <w:rPr>
      <w:rFonts w:ascii="Times New Roman" w:hAnsi="Times New Roman"/>
      <w:sz w:val="22"/>
      <w:u w:val="single"/>
    </w:rPr>
  </w:style>
  <w:style w:type="paragraph" w:customStyle="1" w:styleId="Mandat1">
    <w:name w:val="Mandat1"/>
    <w:basedOn w:val="Titre1"/>
    <w:rsid w:val="00F77A3A"/>
    <w:rPr>
      <w:rFonts w:ascii="Times New Roman" w:hAnsi="Times New Roman" w:cs="Times New Roman"/>
      <w:sz w:val="24"/>
    </w:rPr>
  </w:style>
  <w:style w:type="paragraph" w:customStyle="1" w:styleId="Normal2">
    <w:name w:val="Normal2"/>
    <w:basedOn w:val="Normal"/>
    <w:rsid w:val="00F77A3A"/>
    <w:pPr>
      <w:spacing w:line="240" w:lineRule="exact"/>
      <w:ind w:left="567" w:right="567"/>
    </w:pPr>
    <w:rPr>
      <w:rFonts w:ascii="Arial" w:hAnsi="Arial"/>
      <w:sz w:val="20"/>
      <w:szCs w:val="20"/>
    </w:rPr>
  </w:style>
  <w:style w:type="paragraph" w:styleId="Retraitnormal">
    <w:name w:val="Normal Indent"/>
    <w:basedOn w:val="Normal"/>
    <w:semiHidden/>
    <w:rsid w:val="008D550C"/>
    <w:pPr>
      <w:ind w:left="708"/>
    </w:pPr>
    <w:rPr>
      <w:rFonts w:ascii="Atlanta" w:hAnsi="Atlanta"/>
      <w:szCs w:val="20"/>
    </w:rPr>
  </w:style>
  <w:style w:type="paragraph" w:customStyle="1" w:styleId="Txttitre1">
    <w:name w:val="Txt titre 1"/>
    <w:rsid w:val="008D550C"/>
    <w:pPr>
      <w:spacing w:before="120" w:line="240" w:lineRule="exact"/>
      <w:ind w:left="567"/>
      <w:jc w:val="both"/>
    </w:pPr>
    <w:rPr>
      <w:rFonts w:ascii="CG Omega" w:hAnsi="CG Omega"/>
      <w:sz w:val="24"/>
    </w:rPr>
  </w:style>
  <w:style w:type="paragraph" w:customStyle="1" w:styleId="Txttitre2">
    <w:name w:val="Txt titre 2"/>
    <w:basedOn w:val="Normal"/>
    <w:link w:val="Txttitre2Car"/>
    <w:rsid w:val="008D550C"/>
    <w:pPr>
      <w:spacing w:before="120" w:line="240" w:lineRule="exact"/>
      <w:ind w:left="1134"/>
    </w:pPr>
    <w:rPr>
      <w:rFonts w:ascii="CG Omega" w:hAnsi="CG Omega"/>
      <w:szCs w:val="20"/>
    </w:rPr>
  </w:style>
  <w:style w:type="paragraph" w:customStyle="1" w:styleId="Txttitre3">
    <w:name w:val="Txt titre 3"/>
    <w:rsid w:val="008D550C"/>
    <w:pPr>
      <w:spacing w:before="120" w:line="240" w:lineRule="exact"/>
      <w:ind w:left="1701"/>
      <w:jc w:val="both"/>
    </w:pPr>
    <w:rPr>
      <w:rFonts w:ascii="CG Omega" w:hAnsi="CG Omega"/>
      <w:sz w:val="24"/>
    </w:rPr>
  </w:style>
  <w:style w:type="paragraph" w:customStyle="1" w:styleId="Retraitcorpsdetexte21">
    <w:name w:val="Retrait corps de texte 21"/>
    <w:basedOn w:val="Normal"/>
    <w:rsid w:val="008D550C"/>
    <w:pPr>
      <w:tabs>
        <w:tab w:val="left" w:pos="2120"/>
        <w:tab w:val="left" w:pos="4240"/>
        <w:tab w:val="left" w:pos="4780"/>
      </w:tabs>
      <w:ind w:left="500" w:hanging="500"/>
    </w:pPr>
    <w:rPr>
      <w:rFonts w:ascii="Times" w:hAnsi="Times"/>
      <w:szCs w:val="20"/>
    </w:rPr>
  </w:style>
  <w:style w:type="paragraph" w:styleId="Adresseexpditeur">
    <w:name w:val="envelope return"/>
    <w:basedOn w:val="Normal"/>
    <w:rsid w:val="008D550C"/>
    <w:rPr>
      <w:rFonts w:ascii="CG Omega" w:hAnsi="CG Omega"/>
      <w:sz w:val="20"/>
      <w:szCs w:val="20"/>
    </w:rPr>
  </w:style>
  <w:style w:type="paragraph" w:styleId="Listepuces">
    <w:name w:val="List Bullet"/>
    <w:basedOn w:val="Normal"/>
    <w:uiPriority w:val="99"/>
    <w:unhideWhenUsed/>
    <w:rsid w:val="00246650"/>
    <w:pPr>
      <w:numPr>
        <w:numId w:val="1"/>
      </w:numPr>
      <w:contextualSpacing/>
    </w:pPr>
  </w:style>
  <w:style w:type="paragraph" w:customStyle="1" w:styleId="Style2">
    <w:name w:val="Style2"/>
    <w:basedOn w:val="Normal"/>
    <w:rsid w:val="00087A66"/>
    <w:pPr>
      <w:ind w:left="560" w:hanging="540"/>
    </w:pPr>
    <w:rPr>
      <w:b/>
      <w:sz w:val="20"/>
      <w:szCs w:val="20"/>
    </w:rPr>
  </w:style>
  <w:style w:type="paragraph" w:customStyle="1" w:styleId="Retrait">
    <w:name w:val="Retrait"/>
    <w:basedOn w:val="Normal"/>
    <w:rsid w:val="00E301D8"/>
    <w:pPr>
      <w:ind w:left="560" w:hanging="540"/>
    </w:pPr>
    <w:rPr>
      <w:rFonts w:ascii="AvantGarde" w:hAnsi="AvantGarde"/>
      <w:sz w:val="20"/>
      <w:szCs w:val="20"/>
    </w:rPr>
  </w:style>
  <w:style w:type="paragraph" w:customStyle="1" w:styleId="articleniveau3bis">
    <w:name w:val="article niveau 3 bis"/>
    <w:basedOn w:val="Normal"/>
    <w:autoRedefine/>
    <w:rsid w:val="00280F90"/>
    <w:pPr>
      <w:outlineLvl w:val="2"/>
    </w:pPr>
    <w:rPr>
      <w:rFonts w:cs="Arial"/>
      <w:szCs w:val="18"/>
    </w:rPr>
  </w:style>
  <w:style w:type="character" w:customStyle="1" w:styleId="RetraitcorpsdetexteCar">
    <w:name w:val="Retrait corps de texte Car"/>
    <w:link w:val="Retraitcorpsdetexte"/>
    <w:semiHidden/>
    <w:rsid w:val="00B86DA1"/>
    <w:rPr>
      <w:sz w:val="24"/>
      <w:szCs w:val="24"/>
    </w:rPr>
  </w:style>
  <w:style w:type="character" w:customStyle="1" w:styleId="Txttitre2Car">
    <w:name w:val="Txt titre 2 Car"/>
    <w:link w:val="Txttitre2"/>
    <w:rsid w:val="00205E02"/>
    <w:rPr>
      <w:rFonts w:ascii="CG Omega" w:hAnsi="CG Omega"/>
      <w:sz w:val="24"/>
    </w:rPr>
  </w:style>
  <w:style w:type="paragraph" w:styleId="Paragraphedeliste">
    <w:name w:val="List Paragraph"/>
    <w:aliases w:val="texte de base,Liste couleur - Accent 14,Liste couleur - Accent 141"/>
    <w:basedOn w:val="Normal"/>
    <w:link w:val="ParagraphedelisteCar"/>
    <w:uiPriority w:val="34"/>
    <w:qFormat/>
    <w:rsid w:val="00B20E70"/>
    <w:pPr>
      <w:ind w:left="708"/>
    </w:pPr>
  </w:style>
  <w:style w:type="character" w:customStyle="1" w:styleId="PieddepageCar">
    <w:name w:val="Pied de page Car"/>
    <w:link w:val="Pieddepage"/>
    <w:uiPriority w:val="99"/>
    <w:rsid w:val="00CF6C53"/>
    <w:rPr>
      <w:sz w:val="24"/>
      <w:szCs w:val="24"/>
    </w:rPr>
  </w:style>
  <w:style w:type="paragraph" w:styleId="Textedebulles">
    <w:name w:val="Balloon Text"/>
    <w:basedOn w:val="Normal"/>
    <w:link w:val="TextedebullesCar"/>
    <w:uiPriority w:val="99"/>
    <w:semiHidden/>
    <w:unhideWhenUsed/>
    <w:rsid w:val="00596C53"/>
    <w:rPr>
      <w:rFonts w:ascii="Tahoma" w:hAnsi="Tahoma" w:cs="Tahoma"/>
      <w:sz w:val="16"/>
      <w:szCs w:val="16"/>
    </w:rPr>
  </w:style>
  <w:style w:type="character" w:customStyle="1" w:styleId="TextedebullesCar">
    <w:name w:val="Texte de bulles Car"/>
    <w:link w:val="Textedebulles"/>
    <w:uiPriority w:val="99"/>
    <w:semiHidden/>
    <w:rsid w:val="00596C53"/>
    <w:rPr>
      <w:rFonts w:ascii="Tahoma" w:hAnsi="Tahoma" w:cs="Tahoma"/>
      <w:sz w:val="16"/>
      <w:szCs w:val="16"/>
    </w:rPr>
  </w:style>
  <w:style w:type="paragraph" w:customStyle="1" w:styleId="Paragraphe">
    <w:name w:val="Paragraphe"/>
    <w:basedOn w:val="Normal"/>
    <w:rsid w:val="00511C46"/>
    <w:pPr>
      <w:widowControl w:val="0"/>
      <w:suppressAutoHyphens/>
      <w:overflowPunct w:val="0"/>
      <w:autoSpaceDE w:val="0"/>
      <w:spacing w:before="120"/>
      <w:textAlignment w:val="baseline"/>
    </w:pPr>
    <w:rPr>
      <w:szCs w:val="20"/>
      <w:lang w:eastAsia="ar-SA"/>
    </w:rPr>
  </w:style>
  <w:style w:type="character" w:customStyle="1" w:styleId="Caractrestandard">
    <w:name w:val="Caractère standard"/>
    <w:rsid w:val="00225524"/>
    <w:rPr>
      <w:color w:val="000000"/>
      <w:sz w:val="22"/>
    </w:rPr>
  </w:style>
  <w:style w:type="paragraph" w:customStyle="1" w:styleId="Corpsdetexte23">
    <w:name w:val="Corps de texte 23"/>
    <w:basedOn w:val="Normal"/>
    <w:rsid w:val="001946CC"/>
    <w:pPr>
      <w:suppressAutoHyphens/>
    </w:pPr>
    <w:rPr>
      <w:rFonts w:ascii="Arial" w:hAnsi="Arial" w:cs="Arial"/>
      <w:lang w:eastAsia="ar-SA"/>
    </w:rPr>
  </w:style>
  <w:style w:type="character" w:styleId="Marquedecommentaire">
    <w:name w:val="annotation reference"/>
    <w:uiPriority w:val="99"/>
    <w:semiHidden/>
    <w:unhideWhenUsed/>
    <w:rsid w:val="00071121"/>
    <w:rPr>
      <w:sz w:val="16"/>
      <w:szCs w:val="16"/>
    </w:rPr>
  </w:style>
  <w:style w:type="paragraph" w:styleId="Commentaire">
    <w:name w:val="annotation text"/>
    <w:basedOn w:val="Normal"/>
    <w:link w:val="CommentaireCar"/>
    <w:uiPriority w:val="99"/>
    <w:unhideWhenUsed/>
    <w:rsid w:val="00071121"/>
    <w:rPr>
      <w:sz w:val="20"/>
      <w:szCs w:val="20"/>
    </w:rPr>
  </w:style>
  <w:style w:type="character" w:customStyle="1" w:styleId="CommentaireCar">
    <w:name w:val="Commentaire Car"/>
    <w:basedOn w:val="Policepardfaut"/>
    <w:link w:val="Commentaire"/>
    <w:uiPriority w:val="99"/>
    <w:rsid w:val="00071121"/>
  </w:style>
  <w:style w:type="paragraph" w:styleId="Objetducommentaire">
    <w:name w:val="annotation subject"/>
    <w:basedOn w:val="Commentaire"/>
    <w:next w:val="Commentaire"/>
    <w:link w:val="ObjetducommentaireCar"/>
    <w:uiPriority w:val="99"/>
    <w:semiHidden/>
    <w:unhideWhenUsed/>
    <w:rsid w:val="00071121"/>
    <w:rPr>
      <w:b/>
      <w:bCs/>
    </w:rPr>
  </w:style>
  <w:style w:type="character" w:customStyle="1" w:styleId="ObjetducommentaireCar">
    <w:name w:val="Objet du commentaire Car"/>
    <w:link w:val="Objetducommentaire"/>
    <w:uiPriority w:val="99"/>
    <w:semiHidden/>
    <w:rsid w:val="00071121"/>
    <w:rPr>
      <w:b/>
      <w:bCs/>
    </w:rPr>
  </w:style>
  <w:style w:type="paragraph" w:styleId="Sansinterligne">
    <w:name w:val="No Spacing"/>
    <w:link w:val="SansinterligneCar"/>
    <w:uiPriority w:val="1"/>
    <w:qFormat/>
    <w:rsid w:val="00790C64"/>
    <w:rPr>
      <w:rFonts w:ascii="Verdana" w:hAnsi="Verdana"/>
      <w:sz w:val="22"/>
      <w:szCs w:val="22"/>
      <w:lang w:eastAsia="en-US"/>
    </w:rPr>
  </w:style>
  <w:style w:type="character" w:customStyle="1" w:styleId="SansinterligneCar">
    <w:name w:val="Sans interligne Car"/>
    <w:link w:val="Sansinterligne"/>
    <w:uiPriority w:val="99"/>
    <w:locked/>
    <w:rsid w:val="00790C64"/>
    <w:rPr>
      <w:rFonts w:ascii="Verdana" w:hAnsi="Verdana"/>
      <w:sz w:val="22"/>
      <w:szCs w:val="22"/>
      <w:lang w:eastAsia="en-US"/>
    </w:rPr>
  </w:style>
  <w:style w:type="paragraph" w:customStyle="1" w:styleId="TITRE10">
    <w:name w:val="TITRE 1"/>
    <w:basedOn w:val="Citationintense"/>
    <w:link w:val="TITRE1Car"/>
    <w:rsid w:val="00DE60D1"/>
    <w:pPr>
      <w:pBdr>
        <w:top w:val="none" w:sz="0" w:space="0" w:color="auto"/>
        <w:bottom w:val="single" w:sz="4" w:space="4" w:color="DDDDDD"/>
      </w:pBdr>
      <w:spacing w:before="200" w:after="280" w:line="276" w:lineRule="auto"/>
      <w:ind w:left="1701" w:right="-1"/>
      <w:jc w:val="left"/>
    </w:pPr>
    <w:rPr>
      <w:rFonts w:eastAsia="Verdana"/>
      <w:b/>
      <w:bCs/>
      <w:i w:val="0"/>
      <w:color w:val="auto"/>
      <w:sz w:val="20"/>
      <w:szCs w:val="28"/>
      <w:lang w:eastAsia="en-US"/>
    </w:rPr>
  </w:style>
  <w:style w:type="character" w:customStyle="1" w:styleId="TITRE1Car">
    <w:name w:val="TITRE 1 Car"/>
    <w:link w:val="TITRE10"/>
    <w:rsid w:val="00DE60D1"/>
    <w:rPr>
      <w:rFonts w:ascii="Verdana" w:eastAsia="Verdana" w:hAnsi="Verdana"/>
      <w:b/>
      <w:bCs/>
      <w:iCs/>
      <w:szCs w:val="28"/>
      <w:lang w:eastAsia="en-US"/>
    </w:rPr>
  </w:style>
  <w:style w:type="paragraph" w:styleId="Citationintense">
    <w:name w:val="Intense Quote"/>
    <w:basedOn w:val="Normal"/>
    <w:next w:val="Normal"/>
    <w:link w:val="CitationintenseCar"/>
    <w:uiPriority w:val="30"/>
    <w:qFormat/>
    <w:rsid w:val="00790C64"/>
    <w:pPr>
      <w:pBdr>
        <w:top w:val="single" w:sz="4" w:space="10" w:color="5B9BD5"/>
        <w:bottom w:val="single" w:sz="4" w:space="10" w:color="5B9BD5"/>
      </w:pBdr>
      <w:spacing w:before="360" w:after="360"/>
      <w:ind w:left="864" w:right="864"/>
      <w:jc w:val="center"/>
    </w:pPr>
    <w:rPr>
      <w:i/>
      <w:iCs/>
      <w:color w:val="5B9BD5"/>
    </w:rPr>
  </w:style>
  <w:style w:type="character" w:customStyle="1" w:styleId="CitationintenseCar">
    <w:name w:val="Citation intense Car"/>
    <w:link w:val="Citationintense"/>
    <w:uiPriority w:val="30"/>
    <w:rsid w:val="00790C64"/>
    <w:rPr>
      <w:i/>
      <w:iCs/>
      <w:color w:val="5B9BD5"/>
      <w:sz w:val="24"/>
      <w:szCs w:val="24"/>
    </w:rPr>
  </w:style>
  <w:style w:type="paragraph" w:customStyle="1" w:styleId="Default">
    <w:name w:val="Default"/>
    <w:rsid w:val="005A7971"/>
    <w:pPr>
      <w:autoSpaceDE w:val="0"/>
      <w:autoSpaceDN w:val="0"/>
      <w:adjustRightInd w:val="0"/>
    </w:pPr>
    <w:rPr>
      <w:rFonts w:ascii="Verdana" w:eastAsia="Calibri" w:hAnsi="Verdana" w:cs="Verdana"/>
      <w:color w:val="000000"/>
      <w:sz w:val="24"/>
      <w:szCs w:val="24"/>
    </w:rPr>
  </w:style>
  <w:style w:type="paragraph" w:customStyle="1" w:styleId="Txtprambule">
    <w:name w:val="Txt préambule"/>
    <w:basedOn w:val="Normal"/>
    <w:link w:val="TxtprambuleCar"/>
    <w:rsid w:val="00A73FD8"/>
    <w:pPr>
      <w:keepLines/>
      <w:spacing w:before="120" w:line="480" w:lineRule="atLeast"/>
      <w:ind w:left="284" w:right="851"/>
    </w:pPr>
    <w:rPr>
      <w:rFonts w:ascii="Arial" w:hAnsi="Arial"/>
      <w:szCs w:val="20"/>
      <w:lang w:val="x-none" w:eastAsia="x-none"/>
    </w:rPr>
  </w:style>
  <w:style w:type="character" w:customStyle="1" w:styleId="TxtprambuleCar">
    <w:name w:val="Txt préambule Car"/>
    <w:link w:val="Txtprambule"/>
    <w:rsid w:val="00A73FD8"/>
    <w:rPr>
      <w:rFonts w:ascii="Arial" w:hAnsi="Arial"/>
      <w:sz w:val="24"/>
      <w:lang w:val="x-none" w:eastAsia="x-none"/>
    </w:rPr>
  </w:style>
  <w:style w:type="table" w:styleId="Grilledutableau">
    <w:name w:val="Table Grid"/>
    <w:basedOn w:val="TableauNormal"/>
    <w:rsid w:val="00EA210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1C6A15"/>
  </w:style>
  <w:style w:type="paragraph" w:customStyle="1" w:styleId="Pg1-numromarch">
    <w:name w:val="Pg1-numéro marché"/>
    <w:basedOn w:val="Normal"/>
    <w:uiPriority w:val="99"/>
    <w:rsid w:val="00EA331E"/>
    <w:pPr>
      <w:tabs>
        <w:tab w:val="left" w:pos="8931"/>
      </w:tabs>
      <w:autoSpaceDE w:val="0"/>
      <w:autoSpaceDN w:val="0"/>
      <w:spacing w:before="120"/>
      <w:ind w:left="3969"/>
    </w:pPr>
    <w:rPr>
      <w:b/>
      <w:bCs/>
      <w:smallCaps/>
      <w:sz w:val="22"/>
      <w:szCs w:val="22"/>
    </w:rPr>
  </w:style>
  <w:style w:type="paragraph" w:customStyle="1" w:styleId="TITRE100">
    <w:name w:val="TITRE 10"/>
    <w:basedOn w:val="Normal"/>
    <w:next w:val="TITRE10"/>
    <w:link w:val="TITRE10Car"/>
    <w:qFormat/>
    <w:rsid w:val="009F4700"/>
    <w:rPr>
      <w:b/>
      <w:sz w:val="22"/>
      <w:szCs w:val="16"/>
    </w:rPr>
  </w:style>
  <w:style w:type="paragraph" w:styleId="En-ttedetabledesmatires">
    <w:name w:val="TOC Heading"/>
    <w:basedOn w:val="Titre1"/>
    <w:next w:val="Normal"/>
    <w:uiPriority w:val="39"/>
    <w:unhideWhenUsed/>
    <w:qFormat/>
    <w:rsid w:val="00A82DC3"/>
    <w:pPr>
      <w:keepLines/>
      <w:spacing w:after="0" w:line="259" w:lineRule="auto"/>
      <w:jc w:val="left"/>
      <w:outlineLvl w:val="9"/>
    </w:pPr>
    <w:rPr>
      <w:rFonts w:ascii="Calibri Light" w:eastAsia="Times New Roman" w:hAnsi="Calibri Light" w:cs="Times New Roman"/>
      <w:b w:val="0"/>
      <w:bCs w:val="0"/>
      <w:color w:val="2F5496"/>
      <w:kern w:val="0"/>
    </w:rPr>
  </w:style>
  <w:style w:type="character" w:customStyle="1" w:styleId="TITRE10Car">
    <w:name w:val="TITRE 10 Car"/>
    <w:link w:val="TITRE100"/>
    <w:rsid w:val="009F4700"/>
    <w:rPr>
      <w:rFonts w:ascii="Verdana" w:hAnsi="Verdana"/>
      <w:b/>
      <w:sz w:val="22"/>
      <w:szCs w:val="16"/>
    </w:rPr>
  </w:style>
  <w:style w:type="character" w:styleId="Mentionnonrsolue">
    <w:name w:val="Unresolved Mention"/>
    <w:uiPriority w:val="99"/>
    <w:semiHidden/>
    <w:unhideWhenUsed/>
    <w:rsid w:val="00253797"/>
    <w:rPr>
      <w:color w:val="605E5C"/>
      <w:shd w:val="clear" w:color="auto" w:fill="E1DFDD"/>
    </w:rPr>
  </w:style>
  <w:style w:type="paragraph" w:styleId="Rvision">
    <w:name w:val="Revision"/>
    <w:hidden/>
    <w:uiPriority w:val="99"/>
    <w:semiHidden/>
    <w:rsid w:val="00807011"/>
    <w:rPr>
      <w:rFonts w:ascii="Verdana" w:hAnsi="Verdana"/>
      <w:sz w:val="18"/>
      <w:szCs w:val="24"/>
    </w:rPr>
  </w:style>
  <w:style w:type="character" w:customStyle="1" w:styleId="ParagraphedelisteCar">
    <w:name w:val="Paragraphe de liste Car"/>
    <w:aliases w:val="texte de base Car,Liste couleur - Accent 14 Car,Liste couleur - Accent 141 Car"/>
    <w:link w:val="Paragraphedeliste"/>
    <w:uiPriority w:val="34"/>
    <w:locked/>
    <w:rsid w:val="00807011"/>
    <w:rPr>
      <w:rFonts w:ascii="Verdana" w:hAnsi="Verdana"/>
      <w:sz w:val="18"/>
      <w:szCs w:val="24"/>
    </w:rPr>
  </w:style>
  <w:style w:type="paragraph" w:customStyle="1" w:styleId="ParagrapheIndent2">
    <w:name w:val="ParagrapheIndent2"/>
    <w:basedOn w:val="Normal"/>
    <w:next w:val="Normal"/>
    <w:qFormat/>
    <w:rsid w:val="003D0A97"/>
    <w:pPr>
      <w:jc w:val="left"/>
    </w:pPr>
    <w:rPr>
      <w:rFonts w:ascii="Arial" w:eastAsia="Arial" w:hAnsi="Arial" w:cs="Arial"/>
      <w:sz w:val="20"/>
      <w:lang w:val="en-US" w:eastAsia="en-US"/>
    </w:rPr>
  </w:style>
  <w:style w:type="paragraph" w:customStyle="1" w:styleId="Commentaire1">
    <w:name w:val="Commentaire1"/>
    <w:basedOn w:val="Normal"/>
    <w:rsid w:val="00135559"/>
    <w:pPr>
      <w:suppressAutoHyphens/>
      <w:jc w:val="left"/>
    </w:pPr>
    <w:rPr>
      <w:rFonts w:ascii="Times New Roman" w:eastAsia="Times New Roman" w:hAnsi="Times New Roman"/>
      <w:sz w:val="20"/>
      <w:szCs w:val="20"/>
      <w:lang w:eastAsia="zh-CN"/>
    </w:rPr>
  </w:style>
  <w:style w:type="paragraph" w:customStyle="1" w:styleId="05ARTICLENiv1-Texte">
    <w:name w:val="05_ARTICLE_Niv1 - Texte"/>
    <w:link w:val="05ARTICLENiv1-TexteCar"/>
    <w:rsid w:val="00785367"/>
    <w:pPr>
      <w:tabs>
        <w:tab w:val="left" w:leader="dot" w:pos="9356"/>
      </w:tabs>
      <w:spacing w:after="120"/>
      <w:jc w:val="both"/>
    </w:pPr>
    <w:rPr>
      <w:rFonts w:ascii="Arial" w:eastAsia="Times New Roman" w:hAnsi="Arial"/>
      <w:noProof/>
    </w:rPr>
  </w:style>
  <w:style w:type="character" w:customStyle="1" w:styleId="05ARTICLENiv1-TexteCar">
    <w:name w:val="05_ARTICLE_Niv1 - Texte Car"/>
    <w:link w:val="05ARTICLENiv1-Texte"/>
    <w:rsid w:val="00785367"/>
    <w:rPr>
      <w:rFonts w:ascii="Arial" w:eastAsia="Times New Roman" w:hAnsi="Arial"/>
      <w:noProof/>
    </w:rPr>
  </w:style>
  <w:style w:type="character" w:customStyle="1" w:styleId="05ARTICLENiv1-TexteCarCar1">
    <w:name w:val="05_ARTICLE_Niv1 - Texte Car Car1"/>
    <w:rsid w:val="00785367"/>
    <w:rPr>
      <w:rFonts w:ascii="Verdana" w:hAnsi="Verdana"/>
      <w:noProof/>
      <w:spacing w:val="-6"/>
      <w:sz w:val="18"/>
      <w:lang w:val="fr-FR" w:eastAsia="fr-FR" w:bidi="ar-SA"/>
    </w:rPr>
  </w:style>
  <w:style w:type="paragraph" w:styleId="NormalWeb">
    <w:name w:val="Normal (Web)"/>
    <w:basedOn w:val="Normal"/>
    <w:uiPriority w:val="99"/>
    <w:rsid w:val="00DC32C9"/>
    <w:pPr>
      <w:suppressAutoHyphens/>
      <w:spacing w:before="280" w:after="280"/>
      <w:jc w:val="left"/>
    </w:pPr>
    <w:rPr>
      <w:rFonts w:ascii="Times New Roman" w:eastAsia="Times New Roman" w:hAnsi="Times New Roman"/>
      <w:sz w:val="24"/>
      <w:lang w:eastAsia="zh-CN"/>
    </w:rPr>
  </w:style>
  <w:style w:type="paragraph" w:customStyle="1" w:styleId="Retraitcorpsdetexte31">
    <w:name w:val="Retrait corps de texte 31"/>
    <w:basedOn w:val="Normal"/>
    <w:rsid w:val="003F015F"/>
    <w:pPr>
      <w:suppressAutoHyphens/>
      <w:spacing w:after="120"/>
      <w:ind w:left="283"/>
      <w:jc w:val="left"/>
    </w:pPr>
    <w:rPr>
      <w:rFonts w:ascii="Times New Roman" w:eastAsia="Times New Roman" w:hAnsi="Times New Roman"/>
      <w:sz w:val="16"/>
      <w:szCs w:val="16"/>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644464">
      <w:bodyDiv w:val="1"/>
      <w:marLeft w:val="0"/>
      <w:marRight w:val="0"/>
      <w:marTop w:val="0"/>
      <w:marBottom w:val="0"/>
      <w:divBdr>
        <w:top w:val="none" w:sz="0" w:space="0" w:color="auto"/>
        <w:left w:val="none" w:sz="0" w:space="0" w:color="auto"/>
        <w:bottom w:val="none" w:sz="0" w:space="0" w:color="auto"/>
        <w:right w:val="none" w:sz="0" w:space="0" w:color="auto"/>
      </w:divBdr>
    </w:div>
    <w:div w:id="449322792">
      <w:bodyDiv w:val="1"/>
      <w:marLeft w:val="0"/>
      <w:marRight w:val="0"/>
      <w:marTop w:val="0"/>
      <w:marBottom w:val="0"/>
      <w:divBdr>
        <w:top w:val="none" w:sz="0" w:space="0" w:color="auto"/>
        <w:left w:val="none" w:sz="0" w:space="0" w:color="auto"/>
        <w:bottom w:val="none" w:sz="0" w:space="0" w:color="auto"/>
        <w:right w:val="none" w:sz="0" w:space="0" w:color="auto"/>
      </w:divBdr>
      <w:divsChild>
        <w:div w:id="66001810">
          <w:marLeft w:val="0"/>
          <w:marRight w:val="0"/>
          <w:marTop w:val="0"/>
          <w:marBottom w:val="0"/>
          <w:divBdr>
            <w:top w:val="none" w:sz="0" w:space="0" w:color="auto"/>
            <w:left w:val="none" w:sz="0" w:space="0" w:color="auto"/>
            <w:bottom w:val="none" w:sz="0" w:space="0" w:color="auto"/>
            <w:right w:val="none" w:sz="0" w:space="0" w:color="auto"/>
          </w:divBdr>
        </w:div>
        <w:div w:id="1129468586">
          <w:marLeft w:val="0"/>
          <w:marRight w:val="0"/>
          <w:marTop w:val="0"/>
          <w:marBottom w:val="0"/>
          <w:divBdr>
            <w:top w:val="none" w:sz="0" w:space="0" w:color="auto"/>
            <w:left w:val="none" w:sz="0" w:space="0" w:color="auto"/>
            <w:bottom w:val="none" w:sz="0" w:space="0" w:color="auto"/>
            <w:right w:val="none" w:sz="0" w:space="0" w:color="auto"/>
          </w:divBdr>
        </w:div>
        <w:div w:id="1503617351">
          <w:marLeft w:val="0"/>
          <w:marRight w:val="0"/>
          <w:marTop w:val="0"/>
          <w:marBottom w:val="0"/>
          <w:divBdr>
            <w:top w:val="none" w:sz="0" w:space="0" w:color="auto"/>
            <w:left w:val="none" w:sz="0" w:space="0" w:color="auto"/>
            <w:bottom w:val="none" w:sz="0" w:space="0" w:color="auto"/>
            <w:right w:val="none" w:sz="0" w:space="0" w:color="auto"/>
          </w:divBdr>
        </w:div>
        <w:div w:id="1582637989">
          <w:marLeft w:val="0"/>
          <w:marRight w:val="0"/>
          <w:marTop w:val="0"/>
          <w:marBottom w:val="0"/>
          <w:divBdr>
            <w:top w:val="none" w:sz="0" w:space="0" w:color="auto"/>
            <w:left w:val="none" w:sz="0" w:space="0" w:color="auto"/>
            <w:bottom w:val="none" w:sz="0" w:space="0" w:color="auto"/>
            <w:right w:val="none" w:sz="0" w:space="0" w:color="auto"/>
          </w:divBdr>
        </w:div>
        <w:div w:id="1648901180">
          <w:marLeft w:val="0"/>
          <w:marRight w:val="0"/>
          <w:marTop w:val="0"/>
          <w:marBottom w:val="0"/>
          <w:divBdr>
            <w:top w:val="none" w:sz="0" w:space="0" w:color="auto"/>
            <w:left w:val="none" w:sz="0" w:space="0" w:color="auto"/>
            <w:bottom w:val="none" w:sz="0" w:space="0" w:color="auto"/>
            <w:right w:val="none" w:sz="0" w:space="0" w:color="auto"/>
          </w:divBdr>
        </w:div>
        <w:div w:id="1933052221">
          <w:marLeft w:val="0"/>
          <w:marRight w:val="0"/>
          <w:marTop w:val="0"/>
          <w:marBottom w:val="0"/>
          <w:divBdr>
            <w:top w:val="none" w:sz="0" w:space="0" w:color="auto"/>
            <w:left w:val="none" w:sz="0" w:space="0" w:color="auto"/>
            <w:bottom w:val="none" w:sz="0" w:space="0" w:color="auto"/>
            <w:right w:val="none" w:sz="0" w:space="0" w:color="auto"/>
          </w:divBdr>
        </w:div>
        <w:div w:id="1947540109">
          <w:marLeft w:val="0"/>
          <w:marRight w:val="0"/>
          <w:marTop w:val="0"/>
          <w:marBottom w:val="0"/>
          <w:divBdr>
            <w:top w:val="none" w:sz="0" w:space="0" w:color="auto"/>
            <w:left w:val="none" w:sz="0" w:space="0" w:color="auto"/>
            <w:bottom w:val="none" w:sz="0" w:space="0" w:color="auto"/>
            <w:right w:val="none" w:sz="0" w:space="0" w:color="auto"/>
          </w:divBdr>
        </w:div>
        <w:div w:id="2007592236">
          <w:marLeft w:val="0"/>
          <w:marRight w:val="0"/>
          <w:marTop w:val="0"/>
          <w:marBottom w:val="0"/>
          <w:divBdr>
            <w:top w:val="none" w:sz="0" w:space="0" w:color="auto"/>
            <w:left w:val="none" w:sz="0" w:space="0" w:color="auto"/>
            <w:bottom w:val="none" w:sz="0" w:space="0" w:color="auto"/>
            <w:right w:val="none" w:sz="0" w:space="0" w:color="auto"/>
          </w:divBdr>
        </w:div>
      </w:divsChild>
    </w:div>
    <w:div w:id="451896929">
      <w:bodyDiv w:val="1"/>
      <w:marLeft w:val="0"/>
      <w:marRight w:val="0"/>
      <w:marTop w:val="0"/>
      <w:marBottom w:val="0"/>
      <w:divBdr>
        <w:top w:val="none" w:sz="0" w:space="0" w:color="auto"/>
        <w:left w:val="none" w:sz="0" w:space="0" w:color="auto"/>
        <w:bottom w:val="none" w:sz="0" w:space="0" w:color="auto"/>
        <w:right w:val="none" w:sz="0" w:space="0" w:color="auto"/>
      </w:divBdr>
    </w:div>
    <w:div w:id="455099391">
      <w:bodyDiv w:val="1"/>
      <w:marLeft w:val="0"/>
      <w:marRight w:val="0"/>
      <w:marTop w:val="0"/>
      <w:marBottom w:val="0"/>
      <w:divBdr>
        <w:top w:val="none" w:sz="0" w:space="0" w:color="auto"/>
        <w:left w:val="none" w:sz="0" w:space="0" w:color="auto"/>
        <w:bottom w:val="none" w:sz="0" w:space="0" w:color="auto"/>
        <w:right w:val="none" w:sz="0" w:space="0" w:color="auto"/>
      </w:divBdr>
    </w:div>
    <w:div w:id="669866089">
      <w:bodyDiv w:val="1"/>
      <w:marLeft w:val="0"/>
      <w:marRight w:val="0"/>
      <w:marTop w:val="0"/>
      <w:marBottom w:val="0"/>
      <w:divBdr>
        <w:top w:val="none" w:sz="0" w:space="0" w:color="auto"/>
        <w:left w:val="none" w:sz="0" w:space="0" w:color="auto"/>
        <w:bottom w:val="none" w:sz="0" w:space="0" w:color="auto"/>
        <w:right w:val="none" w:sz="0" w:space="0" w:color="auto"/>
      </w:divBdr>
    </w:div>
    <w:div w:id="841553753">
      <w:bodyDiv w:val="1"/>
      <w:marLeft w:val="0"/>
      <w:marRight w:val="0"/>
      <w:marTop w:val="0"/>
      <w:marBottom w:val="0"/>
      <w:divBdr>
        <w:top w:val="none" w:sz="0" w:space="0" w:color="auto"/>
        <w:left w:val="none" w:sz="0" w:space="0" w:color="auto"/>
        <w:bottom w:val="none" w:sz="0" w:space="0" w:color="auto"/>
        <w:right w:val="none" w:sz="0" w:space="0" w:color="auto"/>
      </w:divBdr>
    </w:div>
    <w:div w:id="887187805">
      <w:bodyDiv w:val="1"/>
      <w:marLeft w:val="0"/>
      <w:marRight w:val="0"/>
      <w:marTop w:val="0"/>
      <w:marBottom w:val="0"/>
      <w:divBdr>
        <w:top w:val="none" w:sz="0" w:space="0" w:color="auto"/>
        <w:left w:val="none" w:sz="0" w:space="0" w:color="auto"/>
        <w:bottom w:val="none" w:sz="0" w:space="0" w:color="auto"/>
        <w:right w:val="none" w:sz="0" w:space="0" w:color="auto"/>
      </w:divBdr>
    </w:div>
    <w:div w:id="1000960124">
      <w:bodyDiv w:val="1"/>
      <w:marLeft w:val="0"/>
      <w:marRight w:val="0"/>
      <w:marTop w:val="0"/>
      <w:marBottom w:val="0"/>
      <w:divBdr>
        <w:top w:val="none" w:sz="0" w:space="0" w:color="auto"/>
        <w:left w:val="none" w:sz="0" w:space="0" w:color="auto"/>
        <w:bottom w:val="none" w:sz="0" w:space="0" w:color="auto"/>
        <w:right w:val="none" w:sz="0" w:space="0" w:color="auto"/>
      </w:divBdr>
    </w:div>
    <w:div w:id="1013798335">
      <w:bodyDiv w:val="1"/>
      <w:marLeft w:val="0"/>
      <w:marRight w:val="0"/>
      <w:marTop w:val="0"/>
      <w:marBottom w:val="0"/>
      <w:divBdr>
        <w:top w:val="none" w:sz="0" w:space="0" w:color="auto"/>
        <w:left w:val="none" w:sz="0" w:space="0" w:color="auto"/>
        <w:bottom w:val="none" w:sz="0" w:space="0" w:color="auto"/>
        <w:right w:val="none" w:sz="0" w:space="0" w:color="auto"/>
      </w:divBdr>
    </w:div>
    <w:div w:id="1090394561">
      <w:bodyDiv w:val="1"/>
      <w:marLeft w:val="0"/>
      <w:marRight w:val="0"/>
      <w:marTop w:val="0"/>
      <w:marBottom w:val="0"/>
      <w:divBdr>
        <w:top w:val="none" w:sz="0" w:space="0" w:color="auto"/>
        <w:left w:val="none" w:sz="0" w:space="0" w:color="auto"/>
        <w:bottom w:val="none" w:sz="0" w:space="0" w:color="auto"/>
        <w:right w:val="none" w:sz="0" w:space="0" w:color="auto"/>
      </w:divBdr>
    </w:div>
    <w:div w:id="1186863086">
      <w:bodyDiv w:val="1"/>
      <w:marLeft w:val="0"/>
      <w:marRight w:val="0"/>
      <w:marTop w:val="0"/>
      <w:marBottom w:val="0"/>
      <w:divBdr>
        <w:top w:val="none" w:sz="0" w:space="0" w:color="auto"/>
        <w:left w:val="none" w:sz="0" w:space="0" w:color="auto"/>
        <w:bottom w:val="none" w:sz="0" w:space="0" w:color="auto"/>
        <w:right w:val="none" w:sz="0" w:space="0" w:color="auto"/>
      </w:divBdr>
    </w:div>
    <w:div w:id="1194075098">
      <w:bodyDiv w:val="1"/>
      <w:marLeft w:val="0"/>
      <w:marRight w:val="0"/>
      <w:marTop w:val="0"/>
      <w:marBottom w:val="0"/>
      <w:divBdr>
        <w:top w:val="none" w:sz="0" w:space="0" w:color="auto"/>
        <w:left w:val="none" w:sz="0" w:space="0" w:color="auto"/>
        <w:bottom w:val="none" w:sz="0" w:space="0" w:color="auto"/>
        <w:right w:val="none" w:sz="0" w:space="0" w:color="auto"/>
      </w:divBdr>
    </w:div>
    <w:div w:id="1288076495">
      <w:bodyDiv w:val="1"/>
      <w:marLeft w:val="0"/>
      <w:marRight w:val="0"/>
      <w:marTop w:val="0"/>
      <w:marBottom w:val="0"/>
      <w:divBdr>
        <w:top w:val="none" w:sz="0" w:space="0" w:color="auto"/>
        <w:left w:val="none" w:sz="0" w:space="0" w:color="auto"/>
        <w:bottom w:val="none" w:sz="0" w:space="0" w:color="auto"/>
        <w:right w:val="none" w:sz="0" w:space="0" w:color="auto"/>
      </w:divBdr>
    </w:div>
    <w:div w:id="1523545284">
      <w:bodyDiv w:val="1"/>
      <w:marLeft w:val="0"/>
      <w:marRight w:val="0"/>
      <w:marTop w:val="0"/>
      <w:marBottom w:val="0"/>
      <w:divBdr>
        <w:top w:val="none" w:sz="0" w:space="0" w:color="auto"/>
        <w:left w:val="none" w:sz="0" w:space="0" w:color="auto"/>
        <w:bottom w:val="none" w:sz="0" w:space="0" w:color="auto"/>
        <w:right w:val="none" w:sz="0" w:space="0" w:color="auto"/>
      </w:divBdr>
    </w:div>
    <w:div w:id="1593859207">
      <w:bodyDiv w:val="1"/>
      <w:marLeft w:val="0"/>
      <w:marRight w:val="0"/>
      <w:marTop w:val="0"/>
      <w:marBottom w:val="0"/>
      <w:divBdr>
        <w:top w:val="none" w:sz="0" w:space="0" w:color="auto"/>
        <w:left w:val="none" w:sz="0" w:space="0" w:color="auto"/>
        <w:bottom w:val="none" w:sz="0" w:space="0" w:color="auto"/>
        <w:right w:val="none" w:sz="0" w:space="0" w:color="auto"/>
      </w:divBdr>
    </w:div>
    <w:div w:id="1780103474">
      <w:bodyDiv w:val="1"/>
      <w:marLeft w:val="0"/>
      <w:marRight w:val="0"/>
      <w:marTop w:val="0"/>
      <w:marBottom w:val="0"/>
      <w:divBdr>
        <w:top w:val="none" w:sz="0" w:space="0" w:color="auto"/>
        <w:left w:val="none" w:sz="0" w:space="0" w:color="auto"/>
        <w:bottom w:val="none" w:sz="0" w:space="0" w:color="auto"/>
        <w:right w:val="none" w:sz="0" w:space="0" w:color="auto"/>
      </w:divBdr>
    </w:div>
    <w:div w:id="1850633645">
      <w:bodyDiv w:val="1"/>
      <w:marLeft w:val="0"/>
      <w:marRight w:val="0"/>
      <w:marTop w:val="0"/>
      <w:marBottom w:val="0"/>
      <w:divBdr>
        <w:top w:val="none" w:sz="0" w:space="0" w:color="auto"/>
        <w:left w:val="none" w:sz="0" w:space="0" w:color="auto"/>
        <w:bottom w:val="none" w:sz="0" w:space="0" w:color="auto"/>
        <w:right w:val="none" w:sz="0" w:space="0" w:color="auto"/>
      </w:divBdr>
    </w:div>
    <w:div w:id="189026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emilien.rousset@univ-amu.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univ-amu.fr/fr/public/creer-une-requete-aupres-du-service-facturier" TargetMode="External"/><Relationship Id="rId2" Type="http://schemas.openxmlformats.org/officeDocument/2006/relationships/numbering" Target="numbering.xml"/><Relationship Id="rId16" Type="http://schemas.openxmlformats.org/officeDocument/2006/relationships/hyperlink" Target="https://www.univ-amu.fr/fr/public/espace-fournisseurs" TargetMode="External"/><Relationship Id="rId20" Type="http://schemas.openxmlformats.org/officeDocument/2006/relationships/hyperlink" Target="http://marseille.tribunal-administratif.fr/acces-et-coordonnees/mailto%20:%20greffe.ta-greffe@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nt.univ-amu.fr/esup-helpdesk/stylesheets/welcome.faces" TargetMode="External"/><Relationship Id="rId10" Type="http://schemas.openxmlformats.org/officeDocument/2006/relationships/footer" Target="footer1.xml"/><Relationship Id="rId19" Type="http://schemas.openxmlformats.org/officeDocument/2006/relationships/hyperlink" Target="mailto:catherine.pietri@paca.gouv.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547C0-BE0D-40A9-8824-4A0BEB001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27</Pages>
  <Words>14968</Words>
  <Characters>86462</Characters>
  <Application>Microsoft Office Word</Application>
  <DocSecurity>0</DocSecurity>
  <Lines>720</Lines>
  <Paragraphs>202</Paragraphs>
  <ScaleCrop>false</ScaleCrop>
  <HeadingPairs>
    <vt:vector size="2" baseType="variant">
      <vt:variant>
        <vt:lpstr>Titre</vt:lpstr>
      </vt:variant>
      <vt:variant>
        <vt:i4>1</vt:i4>
      </vt:variant>
    </vt:vector>
  </HeadingPairs>
  <TitlesOfParts>
    <vt:vector size="1" baseType="lpstr">
      <vt:lpstr>AMU96-2023 CCAP Projet</vt:lpstr>
    </vt:vector>
  </TitlesOfParts>
  <Company>Microsoft</Company>
  <LinksUpToDate>false</LinksUpToDate>
  <CharactersWithSpaces>101228</CharactersWithSpaces>
  <SharedDoc>false</SharedDoc>
  <HLinks>
    <vt:vector size="450" baseType="variant">
      <vt:variant>
        <vt:i4>2031662</vt:i4>
      </vt:variant>
      <vt:variant>
        <vt:i4>451</vt:i4>
      </vt:variant>
      <vt:variant>
        <vt:i4>0</vt:i4>
      </vt:variant>
      <vt:variant>
        <vt:i4>5</vt:i4>
      </vt:variant>
      <vt:variant>
        <vt:lpwstr>http://marseille.tribunal-administratif.fr/acces-et-coordonnees/mailto%20:%20greffe.ta-greffe@juradm.fr</vt:lpwstr>
      </vt:variant>
      <vt:variant>
        <vt:lpwstr/>
      </vt:variant>
      <vt:variant>
        <vt:i4>7667783</vt:i4>
      </vt:variant>
      <vt:variant>
        <vt:i4>448</vt:i4>
      </vt:variant>
      <vt:variant>
        <vt:i4>0</vt:i4>
      </vt:variant>
      <vt:variant>
        <vt:i4>5</vt:i4>
      </vt:variant>
      <vt:variant>
        <vt:lpwstr>mailto:catherine.pietri@paca.gouv.fr</vt:lpwstr>
      </vt:variant>
      <vt:variant>
        <vt:lpwstr/>
      </vt:variant>
      <vt:variant>
        <vt:i4>6881363</vt:i4>
      </vt:variant>
      <vt:variant>
        <vt:i4>445</vt:i4>
      </vt:variant>
      <vt:variant>
        <vt:i4>0</vt:i4>
      </vt:variant>
      <vt:variant>
        <vt:i4>5</vt:i4>
      </vt:variant>
      <vt:variant>
        <vt:lpwstr>mailto:emilien.rousset@univ-amu.fr</vt:lpwstr>
      </vt:variant>
      <vt:variant>
        <vt:lpwstr/>
      </vt:variant>
      <vt:variant>
        <vt:i4>7929900</vt:i4>
      </vt:variant>
      <vt:variant>
        <vt:i4>442</vt:i4>
      </vt:variant>
      <vt:variant>
        <vt:i4>0</vt:i4>
      </vt:variant>
      <vt:variant>
        <vt:i4>5</vt:i4>
      </vt:variant>
      <vt:variant>
        <vt:lpwstr>https://www.univ-amu.fr/fr/public/creer-une-requete-aupres-du-service-facturier</vt:lpwstr>
      </vt:variant>
      <vt:variant>
        <vt:lpwstr/>
      </vt:variant>
      <vt:variant>
        <vt:i4>4522074</vt:i4>
      </vt:variant>
      <vt:variant>
        <vt:i4>439</vt:i4>
      </vt:variant>
      <vt:variant>
        <vt:i4>0</vt:i4>
      </vt:variant>
      <vt:variant>
        <vt:i4>5</vt:i4>
      </vt:variant>
      <vt:variant>
        <vt:lpwstr>https://www.univ-amu.fr/fr/public/espace-fournisseurs</vt:lpwstr>
      </vt:variant>
      <vt:variant>
        <vt:lpwstr/>
      </vt:variant>
      <vt:variant>
        <vt:i4>4128882</vt:i4>
      </vt:variant>
      <vt:variant>
        <vt:i4>436</vt:i4>
      </vt:variant>
      <vt:variant>
        <vt:i4>0</vt:i4>
      </vt:variant>
      <vt:variant>
        <vt:i4>5</vt:i4>
      </vt:variant>
      <vt:variant>
        <vt:lpwstr>https://ent.univ-amu.fr/esup-helpdesk/stylesheets/welcome.faces</vt:lpwstr>
      </vt:variant>
      <vt:variant>
        <vt:lpwstr/>
      </vt:variant>
      <vt:variant>
        <vt:i4>2687031</vt:i4>
      </vt:variant>
      <vt:variant>
        <vt:i4>433</vt:i4>
      </vt:variant>
      <vt:variant>
        <vt:i4>0</vt:i4>
      </vt:variant>
      <vt:variant>
        <vt:i4>5</vt:i4>
      </vt:variant>
      <vt:variant>
        <vt:lpwstr>https://chorus-pro.gouv.fr/</vt:lpwstr>
      </vt:variant>
      <vt:variant>
        <vt:lpwstr/>
      </vt:variant>
      <vt:variant>
        <vt:i4>1703985</vt:i4>
      </vt:variant>
      <vt:variant>
        <vt:i4>404</vt:i4>
      </vt:variant>
      <vt:variant>
        <vt:i4>0</vt:i4>
      </vt:variant>
      <vt:variant>
        <vt:i4>5</vt:i4>
      </vt:variant>
      <vt:variant>
        <vt:lpwstr/>
      </vt:variant>
      <vt:variant>
        <vt:lpwstr>_Toc148101896</vt:lpwstr>
      </vt:variant>
      <vt:variant>
        <vt:i4>1703985</vt:i4>
      </vt:variant>
      <vt:variant>
        <vt:i4>398</vt:i4>
      </vt:variant>
      <vt:variant>
        <vt:i4>0</vt:i4>
      </vt:variant>
      <vt:variant>
        <vt:i4>5</vt:i4>
      </vt:variant>
      <vt:variant>
        <vt:lpwstr/>
      </vt:variant>
      <vt:variant>
        <vt:lpwstr>_Toc148101895</vt:lpwstr>
      </vt:variant>
      <vt:variant>
        <vt:i4>1703985</vt:i4>
      </vt:variant>
      <vt:variant>
        <vt:i4>392</vt:i4>
      </vt:variant>
      <vt:variant>
        <vt:i4>0</vt:i4>
      </vt:variant>
      <vt:variant>
        <vt:i4>5</vt:i4>
      </vt:variant>
      <vt:variant>
        <vt:lpwstr/>
      </vt:variant>
      <vt:variant>
        <vt:lpwstr>_Toc148101894</vt:lpwstr>
      </vt:variant>
      <vt:variant>
        <vt:i4>1703985</vt:i4>
      </vt:variant>
      <vt:variant>
        <vt:i4>386</vt:i4>
      </vt:variant>
      <vt:variant>
        <vt:i4>0</vt:i4>
      </vt:variant>
      <vt:variant>
        <vt:i4>5</vt:i4>
      </vt:variant>
      <vt:variant>
        <vt:lpwstr/>
      </vt:variant>
      <vt:variant>
        <vt:lpwstr>_Toc148101893</vt:lpwstr>
      </vt:variant>
      <vt:variant>
        <vt:i4>1703985</vt:i4>
      </vt:variant>
      <vt:variant>
        <vt:i4>380</vt:i4>
      </vt:variant>
      <vt:variant>
        <vt:i4>0</vt:i4>
      </vt:variant>
      <vt:variant>
        <vt:i4>5</vt:i4>
      </vt:variant>
      <vt:variant>
        <vt:lpwstr/>
      </vt:variant>
      <vt:variant>
        <vt:lpwstr>_Toc148101892</vt:lpwstr>
      </vt:variant>
      <vt:variant>
        <vt:i4>1703985</vt:i4>
      </vt:variant>
      <vt:variant>
        <vt:i4>374</vt:i4>
      </vt:variant>
      <vt:variant>
        <vt:i4>0</vt:i4>
      </vt:variant>
      <vt:variant>
        <vt:i4>5</vt:i4>
      </vt:variant>
      <vt:variant>
        <vt:lpwstr/>
      </vt:variant>
      <vt:variant>
        <vt:lpwstr>_Toc148101891</vt:lpwstr>
      </vt:variant>
      <vt:variant>
        <vt:i4>1703985</vt:i4>
      </vt:variant>
      <vt:variant>
        <vt:i4>368</vt:i4>
      </vt:variant>
      <vt:variant>
        <vt:i4>0</vt:i4>
      </vt:variant>
      <vt:variant>
        <vt:i4>5</vt:i4>
      </vt:variant>
      <vt:variant>
        <vt:lpwstr/>
      </vt:variant>
      <vt:variant>
        <vt:lpwstr>_Toc148101890</vt:lpwstr>
      </vt:variant>
      <vt:variant>
        <vt:i4>1769521</vt:i4>
      </vt:variant>
      <vt:variant>
        <vt:i4>362</vt:i4>
      </vt:variant>
      <vt:variant>
        <vt:i4>0</vt:i4>
      </vt:variant>
      <vt:variant>
        <vt:i4>5</vt:i4>
      </vt:variant>
      <vt:variant>
        <vt:lpwstr/>
      </vt:variant>
      <vt:variant>
        <vt:lpwstr>_Toc148101889</vt:lpwstr>
      </vt:variant>
      <vt:variant>
        <vt:i4>1769521</vt:i4>
      </vt:variant>
      <vt:variant>
        <vt:i4>356</vt:i4>
      </vt:variant>
      <vt:variant>
        <vt:i4>0</vt:i4>
      </vt:variant>
      <vt:variant>
        <vt:i4>5</vt:i4>
      </vt:variant>
      <vt:variant>
        <vt:lpwstr/>
      </vt:variant>
      <vt:variant>
        <vt:lpwstr>_Toc148101888</vt:lpwstr>
      </vt:variant>
      <vt:variant>
        <vt:i4>1769521</vt:i4>
      </vt:variant>
      <vt:variant>
        <vt:i4>350</vt:i4>
      </vt:variant>
      <vt:variant>
        <vt:i4>0</vt:i4>
      </vt:variant>
      <vt:variant>
        <vt:i4>5</vt:i4>
      </vt:variant>
      <vt:variant>
        <vt:lpwstr/>
      </vt:variant>
      <vt:variant>
        <vt:lpwstr>_Toc148101887</vt:lpwstr>
      </vt:variant>
      <vt:variant>
        <vt:i4>1769521</vt:i4>
      </vt:variant>
      <vt:variant>
        <vt:i4>344</vt:i4>
      </vt:variant>
      <vt:variant>
        <vt:i4>0</vt:i4>
      </vt:variant>
      <vt:variant>
        <vt:i4>5</vt:i4>
      </vt:variant>
      <vt:variant>
        <vt:lpwstr/>
      </vt:variant>
      <vt:variant>
        <vt:lpwstr>_Toc148101886</vt:lpwstr>
      </vt:variant>
      <vt:variant>
        <vt:i4>1769521</vt:i4>
      </vt:variant>
      <vt:variant>
        <vt:i4>338</vt:i4>
      </vt:variant>
      <vt:variant>
        <vt:i4>0</vt:i4>
      </vt:variant>
      <vt:variant>
        <vt:i4>5</vt:i4>
      </vt:variant>
      <vt:variant>
        <vt:lpwstr/>
      </vt:variant>
      <vt:variant>
        <vt:lpwstr>_Toc148101885</vt:lpwstr>
      </vt:variant>
      <vt:variant>
        <vt:i4>1769521</vt:i4>
      </vt:variant>
      <vt:variant>
        <vt:i4>332</vt:i4>
      </vt:variant>
      <vt:variant>
        <vt:i4>0</vt:i4>
      </vt:variant>
      <vt:variant>
        <vt:i4>5</vt:i4>
      </vt:variant>
      <vt:variant>
        <vt:lpwstr/>
      </vt:variant>
      <vt:variant>
        <vt:lpwstr>_Toc148101884</vt:lpwstr>
      </vt:variant>
      <vt:variant>
        <vt:i4>1769521</vt:i4>
      </vt:variant>
      <vt:variant>
        <vt:i4>326</vt:i4>
      </vt:variant>
      <vt:variant>
        <vt:i4>0</vt:i4>
      </vt:variant>
      <vt:variant>
        <vt:i4>5</vt:i4>
      </vt:variant>
      <vt:variant>
        <vt:lpwstr/>
      </vt:variant>
      <vt:variant>
        <vt:lpwstr>_Toc148101883</vt:lpwstr>
      </vt:variant>
      <vt:variant>
        <vt:i4>1769521</vt:i4>
      </vt:variant>
      <vt:variant>
        <vt:i4>320</vt:i4>
      </vt:variant>
      <vt:variant>
        <vt:i4>0</vt:i4>
      </vt:variant>
      <vt:variant>
        <vt:i4>5</vt:i4>
      </vt:variant>
      <vt:variant>
        <vt:lpwstr/>
      </vt:variant>
      <vt:variant>
        <vt:lpwstr>_Toc148101882</vt:lpwstr>
      </vt:variant>
      <vt:variant>
        <vt:i4>1769521</vt:i4>
      </vt:variant>
      <vt:variant>
        <vt:i4>314</vt:i4>
      </vt:variant>
      <vt:variant>
        <vt:i4>0</vt:i4>
      </vt:variant>
      <vt:variant>
        <vt:i4>5</vt:i4>
      </vt:variant>
      <vt:variant>
        <vt:lpwstr/>
      </vt:variant>
      <vt:variant>
        <vt:lpwstr>_Toc148101881</vt:lpwstr>
      </vt:variant>
      <vt:variant>
        <vt:i4>1769521</vt:i4>
      </vt:variant>
      <vt:variant>
        <vt:i4>308</vt:i4>
      </vt:variant>
      <vt:variant>
        <vt:i4>0</vt:i4>
      </vt:variant>
      <vt:variant>
        <vt:i4>5</vt:i4>
      </vt:variant>
      <vt:variant>
        <vt:lpwstr/>
      </vt:variant>
      <vt:variant>
        <vt:lpwstr>_Toc148101880</vt:lpwstr>
      </vt:variant>
      <vt:variant>
        <vt:i4>1310769</vt:i4>
      </vt:variant>
      <vt:variant>
        <vt:i4>302</vt:i4>
      </vt:variant>
      <vt:variant>
        <vt:i4>0</vt:i4>
      </vt:variant>
      <vt:variant>
        <vt:i4>5</vt:i4>
      </vt:variant>
      <vt:variant>
        <vt:lpwstr/>
      </vt:variant>
      <vt:variant>
        <vt:lpwstr>_Toc148101879</vt:lpwstr>
      </vt:variant>
      <vt:variant>
        <vt:i4>1310769</vt:i4>
      </vt:variant>
      <vt:variant>
        <vt:i4>296</vt:i4>
      </vt:variant>
      <vt:variant>
        <vt:i4>0</vt:i4>
      </vt:variant>
      <vt:variant>
        <vt:i4>5</vt:i4>
      </vt:variant>
      <vt:variant>
        <vt:lpwstr/>
      </vt:variant>
      <vt:variant>
        <vt:lpwstr>_Toc148101878</vt:lpwstr>
      </vt:variant>
      <vt:variant>
        <vt:i4>1310769</vt:i4>
      </vt:variant>
      <vt:variant>
        <vt:i4>290</vt:i4>
      </vt:variant>
      <vt:variant>
        <vt:i4>0</vt:i4>
      </vt:variant>
      <vt:variant>
        <vt:i4>5</vt:i4>
      </vt:variant>
      <vt:variant>
        <vt:lpwstr/>
      </vt:variant>
      <vt:variant>
        <vt:lpwstr>_Toc148101877</vt:lpwstr>
      </vt:variant>
      <vt:variant>
        <vt:i4>1310769</vt:i4>
      </vt:variant>
      <vt:variant>
        <vt:i4>284</vt:i4>
      </vt:variant>
      <vt:variant>
        <vt:i4>0</vt:i4>
      </vt:variant>
      <vt:variant>
        <vt:i4>5</vt:i4>
      </vt:variant>
      <vt:variant>
        <vt:lpwstr/>
      </vt:variant>
      <vt:variant>
        <vt:lpwstr>_Toc148101876</vt:lpwstr>
      </vt:variant>
      <vt:variant>
        <vt:i4>1310769</vt:i4>
      </vt:variant>
      <vt:variant>
        <vt:i4>278</vt:i4>
      </vt:variant>
      <vt:variant>
        <vt:i4>0</vt:i4>
      </vt:variant>
      <vt:variant>
        <vt:i4>5</vt:i4>
      </vt:variant>
      <vt:variant>
        <vt:lpwstr/>
      </vt:variant>
      <vt:variant>
        <vt:lpwstr>_Toc148101875</vt:lpwstr>
      </vt:variant>
      <vt:variant>
        <vt:i4>1310769</vt:i4>
      </vt:variant>
      <vt:variant>
        <vt:i4>272</vt:i4>
      </vt:variant>
      <vt:variant>
        <vt:i4>0</vt:i4>
      </vt:variant>
      <vt:variant>
        <vt:i4>5</vt:i4>
      </vt:variant>
      <vt:variant>
        <vt:lpwstr/>
      </vt:variant>
      <vt:variant>
        <vt:lpwstr>_Toc148101874</vt:lpwstr>
      </vt:variant>
      <vt:variant>
        <vt:i4>1310769</vt:i4>
      </vt:variant>
      <vt:variant>
        <vt:i4>266</vt:i4>
      </vt:variant>
      <vt:variant>
        <vt:i4>0</vt:i4>
      </vt:variant>
      <vt:variant>
        <vt:i4>5</vt:i4>
      </vt:variant>
      <vt:variant>
        <vt:lpwstr/>
      </vt:variant>
      <vt:variant>
        <vt:lpwstr>_Toc148101873</vt:lpwstr>
      </vt:variant>
      <vt:variant>
        <vt:i4>1310769</vt:i4>
      </vt:variant>
      <vt:variant>
        <vt:i4>260</vt:i4>
      </vt:variant>
      <vt:variant>
        <vt:i4>0</vt:i4>
      </vt:variant>
      <vt:variant>
        <vt:i4>5</vt:i4>
      </vt:variant>
      <vt:variant>
        <vt:lpwstr/>
      </vt:variant>
      <vt:variant>
        <vt:lpwstr>_Toc148101872</vt:lpwstr>
      </vt:variant>
      <vt:variant>
        <vt:i4>1310769</vt:i4>
      </vt:variant>
      <vt:variant>
        <vt:i4>254</vt:i4>
      </vt:variant>
      <vt:variant>
        <vt:i4>0</vt:i4>
      </vt:variant>
      <vt:variant>
        <vt:i4>5</vt:i4>
      </vt:variant>
      <vt:variant>
        <vt:lpwstr/>
      </vt:variant>
      <vt:variant>
        <vt:lpwstr>_Toc148101871</vt:lpwstr>
      </vt:variant>
      <vt:variant>
        <vt:i4>1310769</vt:i4>
      </vt:variant>
      <vt:variant>
        <vt:i4>248</vt:i4>
      </vt:variant>
      <vt:variant>
        <vt:i4>0</vt:i4>
      </vt:variant>
      <vt:variant>
        <vt:i4>5</vt:i4>
      </vt:variant>
      <vt:variant>
        <vt:lpwstr/>
      </vt:variant>
      <vt:variant>
        <vt:lpwstr>_Toc148101870</vt:lpwstr>
      </vt:variant>
      <vt:variant>
        <vt:i4>1376305</vt:i4>
      </vt:variant>
      <vt:variant>
        <vt:i4>242</vt:i4>
      </vt:variant>
      <vt:variant>
        <vt:i4>0</vt:i4>
      </vt:variant>
      <vt:variant>
        <vt:i4>5</vt:i4>
      </vt:variant>
      <vt:variant>
        <vt:lpwstr/>
      </vt:variant>
      <vt:variant>
        <vt:lpwstr>_Toc148101869</vt:lpwstr>
      </vt:variant>
      <vt:variant>
        <vt:i4>1376305</vt:i4>
      </vt:variant>
      <vt:variant>
        <vt:i4>236</vt:i4>
      </vt:variant>
      <vt:variant>
        <vt:i4>0</vt:i4>
      </vt:variant>
      <vt:variant>
        <vt:i4>5</vt:i4>
      </vt:variant>
      <vt:variant>
        <vt:lpwstr/>
      </vt:variant>
      <vt:variant>
        <vt:lpwstr>_Toc148101868</vt:lpwstr>
      </vt:variant>
      <vt:variant>
        <vt:i4>1376305</vt:i4>
      </vt:variant>
      <vt:variant>
        <vt:i4>230</vt:i4>
      </vt:variant>
      <vt:variant>
        <vt:i4>0</vt:i4>
      </vt:variant>
      <vt:variant>
        <vt:i4>5</vt:i4>
      </vt:variant>
      <vt:variant>
        <vt:lpwstr/>
      </vt:variant>
      <vt:variant>
        <vt:lpwstr>_Toc148101867</vt:lpwstr>
      </vt:variant>
      <vt:variant>
        <vt:i4>1376305</vt:i4>
      </vt:variant>
      <vt:variant>
        <vt:i4>224</vt:i4>
      </vt:variant>
      <vt:variant>
        <vt:i4>0</vt:i4>
      </vt:variant>
      <vt:variant>
        <vt:i4>5</vt:i4>
      </vt:variant>
      <vt:variant>
        <vt:lpwstr/>
      </vt:variant>
      <vt:variant>
        <vt:lpwstr>_Toc148101866</vt:lpwstr>
      </vt:variant>
      <vt:variant>
        <vt:i4>1376305</vt:i4>
      </vt:variant>
      <vt:variant>
        <vt:i4>218</vt:i4>
      </vt:variant>
      <vt:variant>
        <vt:i4>0</vt:i4>
      </vt:variant>
      <vt:variant>
        <vt:i4>5</vt:i4>
      </vt:variant>
      <vt:variant>
        <vt:lpwstr/>
      </vt:variant>
      <vt:variant>
        <vt:lpwstr>_Toc148101865</vt:lpwstr>
      </vt:variant>
      <vt:variant>
        <vt:i4>1376305</vt:i4>
      </vt:variant>
      <vt:variant>
        <vt:i4>212</vt:i4>
      </vt:variant>
      <vt:variant>
        <vt:i4>0</vt:i4>
      </vt:variant>
      <vt:variant>
        <vt:i4>5</vt:i4>
      </vt:variant>
      <vt:variant>
        <vt:lpwstr/>
      </vt:variant>
      <vt:variant>
        <vt:lpwstr>_Toc148101864</vt:lpwstr>
      </vt:variant>
      <vt:variant>
        <vt:i4>1376305</vt:i4>
      </vt:variant>
      <vt:variant>
        <vt:i4>206</vt:i4>
      </vt:variant>
      <vt:variant>
        <vt:i4>0</vt:i4>
      </vt:variant>
      <vt:variant>
        <vt:i4>5</vt:i4>
      </vt:variant>
      <vt:variant>
        <vt:lpwstr/>
      </vt:variant>
      <vt:variant>
        <vt:lpwstr>_Toc148101863</vt:lpwstr>
      </vt:variant>
      <vt:variant>
        <vt:i4>1376305</vt:i4>
      </vt:variant>
      <vt:variant>
        <vt:i4>200</vt:i4>
      </vt:variant>
      <vt:variant>
        <vt:i4>0</vt:i4>
      </vt:variant>
      <vt:variant>
        <vt:i4>5</vt:i4>
      </vt:variant>
      <vt:variant>
        <vt:lpwstr/>
      </vt:variant>
      <vt:variant>
        <vt:lpwstr>_Toc148101862</vt:lpwstr>
      </vt:variant>
      <vt:variant>
        <vt:i4>1376305</vt:i4>
      </vt:variant>
      <vt:variant>
        <vt:i4>194</vt:i4>
      </vt:variant>
      <vt:variant>
        <vt:i4>0</vt:i4>
      </vt:variant>
      <vt:variant>
        <vt:i4>5</vt:i4>
      </vt:variant>
      <vt:variant>
        <vt:lpwstr/>
      </vt:variant>
      <vt:variant>
        <vt:lpwstr>_Toc148101861</vt:lpwstr>
      </vt:variant>
      <vt:variant>
        <vt:i4>1376305</vt:i4>
      </vt:variant>
      <vt:variant>
        <vt:i4>188</vt:i4>
      </vt:variant>
      <vt:variant>
        <vt:i4>0</vt:i4>
      </vt:variant>
      <vt:variant>
        <vt:i4>5</vt:i4>
      </vt:variant>
      <vt:variant>
        <vt:lpwstr/>
      </vt:variant>
      <vt:variant>
        <vt:lpwstr>_Toc148101860</vt:lpwstr>
      </vt:variant>
      <vt:variant>
        <vt:i4>1441841</vt:i4>
      </vt:variant>
      <vt:variant>
        <vt:i4>182</vt:i4>
      </vt:variant>
      <vt:variant>
        <vt:i4>0</vt:i4>
      </vt:variant>
      <vt:variant>
        <vt:i4>5</vt:i4>
      </vt:variant>
      <vt:variant>
        <vt:lpwstr/>
      </vt:variant>
      <vt:variant>
        <vt:lpwstr>_Toc148101859</vt:lpwstr>
      </vt:variant>
      <vt:variant>
        <vt:i4>1441841</vt:i4>
      </vt:variant>
      <vt:variant>
        <vt:i4>176</vt:i4>
      </vt:variant>
      <vt:variant>
        <vt:i4>0</vt:i4>
      </vt:variant>
      <vt:variant>
        <vt:i4>5</vt:i4>
      </vt:variant>
      <vt:variant>
        <vt:lpwstr/>
      </vt:variant>
      <vt:variant>
        <vt:lpwstr>_Toc148101858</vt:lpwstr>
      </vt:variant>
      <vt:variant>
        <vt:i4>1441841</vt:i4>
      </vt:variant>
      <vt:variant>
        <vt:i4>170</vt:i4>
      </vt:variant>
      <vt:variant>
        <vt:i4>0</vt:i4>
      </vt:variant>
      <vt:variant>
        <vt:i4>5</vt:i4>
      </vt:variant>
      <vt:variant>
        <vt:lpwstr/>
      </vt:variant>
      <vt:variant>
        <vt:lpwstr>_Toc148101857</vt:lpwstr>
      </vt:variant>
      <vt:variant>
        <vt:i4>1441841</vt:i4>
      </vt:variant>
      <vt:variant>
        <vt:i4>164</vt:i4>
      </vt:variant>
      <vt:variant>
        <vt:i4>0</vt:i4>
      </vt:variant>
      <vt:variant>
        <vt:i4>5</vt:i4>
      </vt:variant>
      <vt:variant>
        <vt:lpwstr/>
      </vt:variant>
      <vt:variant>
        <vt:lpwstr>_Toc148101856</vt:lpwstr>
      </vt:variant>
      <vt:variant>
        <vt:i4>1441841</vt:i4>
      </vt:variant>
      <vt:variant>
        <vt:i4>158</vt:i4>
      </vt:variant>
      <vt:variant>
        <vt:i4>0</vt:i4>
      </vt:variant>
      <vt:variant>
        <vt:i4>5</vt:i4>
      </vt:variant>
      <vt:variant>
        <vt:lpwstr/>
      </vt:variant>
      <vt:variant>
        <vt:lpwstr>_Toc148101855</vt:lpwstr>
      </vt:variant>
      <vt:variant>
        <vt:i4>1441841</vt:i4>
      </vt:variant>
      <vt:variant>
        <vt:i4>152</vt:i4>
      </vt:variant>
      <vt:variant>
        <vt:i4>0</vt:i4>
      </vt:variant>
      <vt:variant>
        <vt:i4>5</vt:i4>
      </vt:variant>
      <vt:variant>
        <vt:lpwstr/>
      </vt:variant>
      <vt:variant>
        <vt:lpwstr>_Toc148101854</vt:lpwstr>
      </vt:variant>
      <vt:variant>
        <vt:i4>1441841</vt:i4>
      </vt:variant>
      <vt:variant>
        <vt:i4>146</vt:i4>
      </vt:variant>
      <vt:variant>
        <vt:i4>0</vt:i4>
      </vt:variant>
      <vt:variant>
        <vt:i4>5</vt:i4>
      </vt:variant>
      <vt:variant>
        <vt:lpwstr/>
      </vt:variant>
      <vt:variant>
        <vt:lpwstr>_Toc148101853</vt:lpwstr>
      </vt:variant>
      <vt:variant>
        <vt:i4>1441841</vt:i4>
      </vt:variant>
      <vt:variant>
        <vt:i4>140</vt:i4>
      </vt:variant>
      <vt:variant>
        <vt:i4>0</vt:i4>
      </vt:variant>
      <vt:variant>
        <vt:i4>5</vt:i4>
      </vt:variant>
      <vt:variant>
        <vt:lpwstr/>
      </vt:variant>
      <vt:variant>
        <vt:lpwstr>_Toc148101852</vt:lpwstr>
      </vt:variant>
      <vt:variant>
        <vt:i4>1441841</vt:i4>
      </vt:variant>
      <vt:variant>
        <vt:i4>134</vt:i4>
      </vt:variant>
      <vt:variant>
        <vt:i4>0</vt:i4>
      </vt:variant>
      <vt:variant>
        <vt:i4>5</vt:i4>
      </vt:variant>
      <vt:variant>
        <vt:lpwstr/>
      </vt:variant>
      <vt:variant>
        <vt:lpwstr>_Toc148101851</vt:lpwstr>
      </vt:variant>
      <vt:variant>
        <vt:i4>1441841</vt:i4>
      </vt:variant>
      <vt:variant>
        <vt:i4>128</vt:i4>
      </vt:variant>
      <vt:variant>
        <vt:i4>0</vt:i4>
      </vt:variant>
      <vt:variant>
        <vt:i4>5</vt:i4>
      </vt:variant>
      <vt:variant>
        <vt:lpwstr/>
      </vt:variant>
      <vt:variant>
        <vt:lpwstr>_Toc148101850</vt:lpwstr>
      </vt:variant>
      <vt:variant>
        <vt:i4>1507377</vt:i4>
      </vt:variant>
      <vt:variant>
        <vt:i4>122</vt:i4>
      </vt:variant>
      <vt:variant>
        <vt:i4>0</vt:i4>
      </vt:variant>
      <vt:variant>
        <vt:i4>5</vt:i4>
      </vt:variant>
      <vt:variant>
        <vt:lpwstr/>
      </vt:variant>
      <vt:variant>
        <vt:lpwstr>_Toc148101849</vt:lpwstr>
      </vt:variant>
      <vt:variant>
        <vt:i4>1507377</vt:i4>
      </vt:variant>
      <vt:variant>
        <vt:i4>116</vt:i4>
      </vt:variant>
      <vt:variant>
        <vt:i4>0</vt:i4>
      </vt:variant>
      <vt:variant>
        <vt:i4>5</vt:i4>
      </vt:variant>
      <vt:variant>
        <vt:lpwstr/>
      </vt:variant>
      <vt:variant>
        <vt:lpwstr>_Toc148101848</vt:lpwstr>
      </vt:variant>
      <vt:variant>
        <vt:i4>1507377</vt:i4>
      </vt:variant>
      <vt:variant>
        <vt:i4>110</vt:i4>
      </vt:variant>
      <vt:variant>
        <vt:i4>0</vt:i4>
      </vt:variant>
      <vt:variant>
        <vt:i4>5</vt:i4>
      </vt:variant>
      <vt:variant>
        <vt:lpwstr/>
      </vt:variant>
      <vt:variant>
        <vt:lpwstr>_Toc148101847</vt:lpwstr>
      </vt:variant>
      <vt:variant>
        <vt:i4>1507377</vt:i4>
      </vt:variant>
      <vt:variant>
        <vt:i4>104</vt:i4>
      </vt:variant>
      <vt:variant>
        <vt:i4>0</vt:i4>
      </vt:variant>
      <vt:variant>
        <vt:i4>5</vt:i4>
      </vt:variant>
      <vt:variant>
        <vt:lpwstr/>
      </vt:variant>
      <vt:variant>
        <vt:lpwstr>_Toc148101846</vt:lpwstr>
      </vt:variant>
      <vt:variant>
        <vt:i4>1507377</vt:i4>
      </vt:variant>
      <vt:variant>
        <vt:i4>98</vt:i4>
      </vt:variant>
      <vt:variant>
        <vt:i4>0</vt:i4>
      </vt:variant>
      <vt:variant>
        <vt:i4>5</vt:i4>
      </vt:variant>
      <vt:variant>
        <vt:lpwstr/>
      </vt:variant>
      <vt:variant>
        <vt:lpwstr>_Toc148101845</vt:lpwstr>
      </vt:variant>
      <vt:variant>
        <vt:i4>1507377</vt:i4>
      </vt:variant>
      <vt:variant>
        <vt:i4>92</vt:i4>
      </vt:variant>
      <vt:variant>
        <vt:i4>0</vt:i4>
      </vt:variant>
      <vt:variant>
        <vt:i4>5</vt:i4>
      </vt:variant>
      <vt:variant>
        <vt:lpwstr/>
      </vt:variant>
      <vt:variant>
        <vt:lpwstr>_Toc148101844</vt:lpwstr>
      </vt:variant>
      <vt:variant>
        <vt:i4>1507377</vt:i4>
      </vt:variant>
      <vt:variant>
        <vt:i4>86</vt:i4>
      </vt:variant>
      <vt:variant>
        <vt:i4>0</vt:i4>
      </vt:variant>
      <vt:variant>
        <vt:i4>5</vt:i4>
      </vt:variant>
      <vt:variant>
        <vt:lpwstr/>
      </vt:variant>
      <vt:variant>
        <vt:lpwstr>_Toc148101843</vt:lpwstr>
      </vt:variant>
      <vt:variant>
        <vt:i4>1507377</vt:i4>
      </vt:variant>
      <vt:variant>
        <vt:i4>80</vt:i4>
      </vt:variant>
      <vt:variant>
        <vt:i4>0</vt:i4>
      </vt:variant>
      <vt:variant>
        <vt:i4>5</vt:i4>
      </vt:variant>
      <vt:variant>
        <vt:lpwstr/>
      </vt:variant>
      <vt:variant>
        <vt:lpwstr>_Toc148101842</vt:lpwstr>
      </vt:variant>
      <vt:variant>
        <vt:i4>1507377</vt:i4>
      </vt:variant>
      <vt:variant>
        <vt:i4>74</vt:i4>
      </vt:variant>
      <vt:variant>
        <vt:i4>0</vt:i4>
      </vt:variant>
      <vt:variant>
        <vt:i4>5</vt:i4>
      </vt:variant>
      <vt:variant>
        <vt:lpwstr/>
      </vt:variant>
      <vt:variant>
        <vt:lpwstr>_Toc148101841</vt:lpwstr>
      </vt:variant>
      <vt:variant>
        <vt:i4>1507377</vt:i4>
      </vt:variant>
      <vt:variant>
        <vt:i4>68</vt:i4>
      </vt:variant>
      <vt:variant>
        <vt:i4>0</vt:i4>
      </vt:variant>
      <vt:variant>
        <vt:i4>5</vt:i4>
      </vt:variant>
      <vt:variant>
        <vt:lpwstr/>
      </vt:variant>
      <vt:variant>
        <vt:lpwstr>_Toc148101840</vt:lpwstr>
      </vt:variant>
      <vt:variant>
        <vt:i4>1048625</vt:i4>
      </vt:variant>
      <vt:variant>
        <vt:i4>62</vt:i4>
      </vt:variant>
      <vt:variant>
        <vt:i4>0</vt:i4>
      </vt:variant>
      <vt:variant>
        <vt:i4>5</vt:i4>
      </vt:variant>
      <vt:variant>
        <vt:lpwstr/>
      </vt:variant>
      <vt:variant>
        <vt:lpwstr>_Toc148101839</vt:lpwstr>
      </vt:variant>
      <vt:variant>
        <vt:i4>1048625</vt:i4>
      </vt:variant>
      <vt:variant>
        <vt:i4>56</vt:i4>
      </vt:variant>
      <vt:variant>
        <vt:i4>0</vt:i4>
      </vt:variant>
      <vt:variant>
        <vt:i4>5</vt:i4>
      </vt:variant>
      <vt:variant>
        <vt:lpwstr/>
      </vt:variant>
      <vt:variant>
        <vt:lpwstr>_Toc148101838</vt:lpwstr>
      </vt:variant>
      <vt:variant>
        <vt:i4>1048625</vt:i4>
      </vt:variant>
      <vt:variant>
        <vt:i4>50</vt:i4>
      </vt:variant>
      <vt:variant>
        <vt:i4>0</vt:i4>
      </vt:variant>
      <vt:variant>
        <vt:i4>5</vt:i4>
      </vt:variant>
      <vt:variant>
        <vt:lpwstr/>
      </vt:variant>
      <vt:variant>
        <vt:lpwstr>_Toc148101837</vt:lpwstr>
      </vt:variant>
      <vt:variant>
        <vt:i4>1048625</vt:i4>
      </vt:variant>
      <vt:variant>
        <vt:i4>44</vt:i4>
      </vt:variant>
      <vt:variant>
        <vt:i4>0</vt:i4>
      </vt:variant>
      <vt:variant>
        <vt:i4>5</vt:i4>
      </vt:variant>
      <vt:variant>
        <vt:lpwstr/>
      </vt:variant>
      <vt:variant>
        <vt:lpwstr>_Toc148101836</vt:lpwstr>
      </vt:variant>
      <vt:variant>
        <vt:i4>1048625</vt:i4>
      </vt:variant>
      <vt:variant>
        <vt:i4>38</vt:i4>
      </vt:variant>
      <vt:variant>
        <vt:i4>0</vt:i4>
      </vt:variant>
      <vt:variant>
        <vt:i4>5</vt:i4>
      </vt:variant>
      <vt:variant>
        <vt:lpwstr/>
      </vt:variant>
      <vt:variant>
        <vt:lpwstr>_Toc148101835</vt:lpwstr>
      </vt:variant>
      <vt:variant>
        <vt:i4>1048625</vt:i4>
      </vt:variant>
      <vt:variant>
        <vt:i4>32</vt:i4>
      </vt:variant>
      <vt:variant>
        <vt:i4>0</vt:i4>
      </vt:variant>
      <vt:variant>
        <vt:i4>5</vt:i4>
      </vt:variant>
      <vt:variant>
        <vt:lpwstr/>
      </vt:variant>
      <vt:variant>
        <vt:lpwstr>_Toc148101834</vt:lpwstr>
      </vt:variant>
      <vt:variant>
        <vt:i4>1048625</vt:i4>
      </vt:variant>
      <vt:variant>
        <vt:i4>26</vt:i4>
      </vt:variant>
      <vt:variant>
        <vt:i4>0</vt:i4>
      </vt:variant>
      <vt:variant>
        <vt:i4>5</vt:i4>
      </vt:variant>
      <vt:variant>
        <vt:lpwstr/>
      </vt:variant>
      <vt:variant>
        <vt:lpwstr>_Toc148101833</vt:lpwstr>
      </vt:variant>
      <vt:variant>
        <vt:i4>1048625</vt:i4>
      </vt:variant>
      <vt:variant>
        <vt:i4>20</vt:i4>
      </vt:variant>
      <vt:variant>
        <vt:i4>0</vt:i4>
      </vt:variant>
      <vt:variant>
        <vt:i4>5</vt:i4>
      </vt:variant>
      <vt:variant>
        <vt:lpwstr/>
      </vt:variant>
      <vt:variant>
        <vt:lpwstr>_Toc148101832</vt:lpwstr>
      </vt:variant>
      <vt:variant>
        <vt:i4>1048625</vt:i4>
      </vt:variant>
      <vt:variant>
        <vt:i4>14</vt:i4>
      </vt:variant>
      <vt:variant>
        <vt:i4>0</vt:i4>
      </vt:variant>
      <vt:variant>
        <vt:i4>5</vt:i4>
      </vt:variant>
      <vt:variant>
        <vt:lpwstr/>
      </vt:variant>
      <vt:variant>
        <vt:lpwstr>_Toc148101831</vt:lpwstr>
      </vt:variant>
      <vt:variant>
        <vt:i4>1048625</vt:i4>
      </vt:variant>
      <vt:variant>
        <vt:i4>8</vt:i4>
      </vt:variant>
      <vt:variant>
        <vt:i4>0</vt:i4>
      </vt:variant>
      <vt:variant>
        <vt:i4>5</vt:i4>
      </vt:variant>
      <vt:variant>
        <vt:lpwstr/>
      </vt:variant>
      <vt:variant>
        <vt:lpwstr>_Toc148101830</vt:lpwstr>
      </vt:variant>
      <vt:variant>
        <vt:i4>1114161</vt:i4>
      </vt:variant>
      <vt:variant>
        <vt:i4>2</vt:i4>
      </vt:variant>
      <vt:variant>
        <vt:i4>0</vt:i4>
      </vt:variant>
      <vt:variant>
        <vt:i4>5</vt:i4>
      </vt:variant>
      <vt:variant>
        <vt:lpwstr/>
      </vt:variant>
      <vt:variant>
        <vt:lpwstr>_Toc148101829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AMU96-2023 CCAP Projet</dc:title>
  <dc:subject/>
  <dc:creator>Standard</dc:creator>
  <cp:keywords/>
  <cp:lastModifiedBy>DELORME Caroline</cp:lastModifiedBy>
  <cp:revision>6</cp:revision>
  <cp:lastPrinted>2023-06-21T15:22:00Z</cp:lastPrinted>
  <dcterms:created xsi:type="dcterms:W3CDTF">2023-10-20T09:08:00Z</dcterms:created>
  <dcterms:modified xsi:type="dcterms:W3CDTF">2024-04-17T13:55:00Z</dcterms:modified>
</cp:coreProperties>
</file>